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2000"/>
      </w:pPr>
    </w:p>
    <w:p>
      <w:pPr>
        <w:spacing w:after="120"/>
        <w:jc w:val="left"/>
      </w:pPr>
      <w:r>
        <w:rPr>
          <w:rFonts w:ascii="Arial" w:cs="Arial" w:eastAsia="Arial" w:hAnsi="Arial"/>
          <w:b/>
          <w:bCs/>
          <w:color w:val="1B3A6B"/>
          <w:sz w:val="36"/>
          <w:szCs w:val="36"/>
        </w:rPr>
        <w:t xml:space="preserve">WASHINGTON APEX ACCELERATOR</w:t>
      </w:r>
    </w:p>
    <w:p>
      <w:pPr>
        <w:spacing w:after="200"/>
        <w:jc w:val="left"/>
      </w:pPr>
      <w:r>
        <w:rPr>
          <w:rFonts w:ascii="Arial" w:cs="Arial" w:eastAsia="Arial" w:hAnsi="Arial"/>
          <w:color w:val="2E6DA4"/>
          <w:sz w:val="32"/>
          <w:szCs w:val="32"/>
        </w:rPr>
        <w:t xml:space="preserve">Government Contracting Client Guide</w:t>
      </w:r>
    </w:p>
    <w:p>
      <w:pPr>
        <w:spacing w:after="600"/>
      </w:pPr>
    </w:p>
    <w:p>
      <w:pPr>
        <w:spacing w:after="80"/>
        <w:jc w:val="left"/>
      </w:pPr>
      <w:r>
        <w:rPr>
          <w:rFonts w:ascii="Arial" w:cs="Arial" w:eastAsia="Arial" w:hAnsi="Arial"/>
          <w:color w:val="666666"/>
          <w:sz w:val="22"/>
          <w:szCs w:val="22"/>
        </w:rPr>
        <w:t xml:space="preserve">Prepared for:</w:t>
      </w:r>
    </w:p>
    <w:p>
      <w:pPr>
        <w:spacing w:after="200"/>
        <w:jc w:val="left"/>
      </w:pPr>
      <w:r>
        <w:rPr>
          <w:rFonts w:ascii="Arial" w:cs="Arial" w:eastAsia="Arial" w:hAnsi="Arial"/>
          <w:b/>
          <w:bCs/>
          <w:color w:val="1B3A6B"/>
          <w:sz w:val="36"/>
          <w:szCs w:val="36"/>
        </w:rPr>
        <w:t xml:space="preserve">Johnson’s HVAC</w:t>
      </w:r>
    </w:p>
    <w:p>
      <w:pPr>
        <w:spacing w:after="80"/>
        <w:jc w:val="left"/>
      </w:pPr>
      <w:r>
        <w:rPr>
          <w:rFonts w:ascii="Arial" w:cs="Arial" w:eastAsia="Arial" w:hAnsi="Arial"/>
          <w:color w:val="2E6DA4"/>
          <w:sz w:val="24"/>
          <w:szCs w:val="24"/>
        </w:rPr>
        <w:t xml:space="preserve">HVAC Repair and Installation Services</w:t>
      </w:r>
    </w:p>
    <w:p>
      <w:pPr>
        <w:spacing w:after="80"/>
        <w:jc w:val="left"/>
      </w:pPr>
      <w:r>
        <w:rPr>
          <w:rFonts w:ascii="Arial" w:cs="Arial" w:eastAsia="Arial" w:hAnsi="Arial"/>
          <w:sz w:val="22"/>
          <w:szCs w:val="22"/>
        </w:rPr>
        <w:t xml:space="preserve">Service Area: Snohomish, Skagit, and Whatcom Counties, Washington</w:t>
      </w:r>
    </w:p>
    <w:p>
      <w:pPr>
        <w:spacing w:after="80"/>
        <w:jc w:val="left"/>
      </w:pPr>
      <w:r>
        <w:rPr>
          <w:rFonts w:ascii="Arial" w:cs="Arial" w:eastAsia="Arial" w:hAnsi="Arial"/>
          <w:sz w:val="22"/>
          <w:szCs w:val="22"/>
        </w:rPr>
        <w:t xml:space="preserve">Markets: Local • State • Federal</w:t>
      </w:r>
    </w:p>
    <w:p>
      <w:pPr>
        <w:spacing w:after="600"/>
      </w:pPr>
    </w:p>
    <w:p>
      <w:pPr>
        <w:jc w:val="left"/>
      </w:pPr>
      <w:r>
        <w:rPr>
          <w:rFonts w:ascii="Arial" w:cs="Arial" w:eastAsia="Arial" w:hAnsi="Arial"/>
          <w:color w:val="666666"/>
          <w:sz w:val="20"/>
          <w:szCs w:val="20"/>
        </w:rPr>
        <w:t xml:space="preserve">Washington APEX Accelerator</w:t>
      </w:r>
    </w:p>
    <w:p>
      <w:pPr>
        <w:jc w:val="left"/>
      </w:pPr>
      <w:r>
        <w:rPr>
          <w:rFonts w:ascii="Arial" w:cs="Arial" w:eastAsia="Arial" w:hAnsi="Arial"/>
          <w:color w:val="2E6DA4"/>
          <w:sz w:val="20"/>
          <w:szCs w:val="20"/>
        </w:rPr>
        <w:t xml:space="preserve">washingtonapexaccelerator.org</w:t>
      </w:r>
    </w:p>
    <w:p>
      <w:pPr>
        <w:spacing w:after="80"/>
        <w:jc w:val="left"/>
      </w:pPr>
      <w:r>
        <w:rPr>
          <w:rFonts w:ascii="Arial" w:cs="Arial" w:eastAsia="Arial" w:hAnsi="Arial"/>
          <w:i/>
          <w:iCs/>
          <w:color w:val="666666"/>
          <w:sz w:val="18"/>
          <w:szCs w:val="18"/>
        </w:rPr>
        <w:t xml:space="preserve">Funded in part through a cooperative agreement with the Department of Defense.</w:t>
      </w:r>
    </w:p>
    <w:p>
      <w:r>
        <w:br w:type="page"/>
      </w:r>
    </w:p>
    <w:p>
      <w:pPr>
        <w:sectPr>
          <w:pgSz w:w="12240" w:h="15840" w:orient="portrait"/>
          <w:pgMar w:top="1440" w:right="1440" w:bottom="1440" w:left="1440" w:header="708" w:footer="708" w:gutter="0"/>
          <w:pgNumType/>
          <w:docGrid w:linePitch="360"/>
        </w:sectPr>
      </w:pPr>
    </w:p>
    <w:p>
      <w:pPr>
        <w:spacing w:after="240" w:before="360"/>
      </w:pPr>
      <w:r>
        <w:rPr>
          <w:rFonts w:ascii="Arial" w:cs="Arial" w:eastAsia="Arial" w:hAnsi="Arial"/>
          <w:b/>
          <w:bCs/>
          <w:color w:val="1B3A6B"/>
          <w:sz w:val="36"/>
          <w:szCs w:val="36"/>
        </w:rPr>
        <w:t xml:space="preserve">Prerequisites — Before You Act on This Guide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2"/>
              <w:left w:val="single" w:color="2E6DA4" w:sz="12"/>
              <w:bottom w:val="single" w:color="2E6DA4" w:sz="12"/>
              <w:right w:val="single" w:color="2E6DA4" w:sz="12"/>
            </w:tcBorders>
            <w:shd w:fill="D6E4F0" w:val="clear"/>
            <w:tcMar>
              <w:top w:type="dxa" w:w="160"/>
              <w:left w:type="dxa" w:w="200"/>
              <w:bottom w:type="dxa" w:w="160"/>
              <w:right w:type="dxa" w:w="200"/>
            </w:tcMar>
          </w:tcPr>
          <w:p>
            <w:pPr>
              <w:spacing w:after="120"/>
            </w:pPr>
            <w:r>
              <w:rPr>
                <w:rFonts w:ascii="Arial" w:cs="Arial" w:eastAsia="Arial" w:hAnsi="Arial"/>
                <w:sz w:val="22"/>
                <w:szCs w:val="22"/>
              </w:rPr>
              <w:t xml:space="preserve">This guide is a market research and action document. Before you act on any recommendation in it, make sure the following foundations are in place. These are not optional — missing any one of them can prevent you from receiving a contract award even if you win the work.</w:t>
            </w:r>
          </w:p>
          <w:p>
            <w:pPr>
              <w:spacing w:after="120"/>
            </w:pPr>
            <w:r>
              <w:rPr>
                <w:rFonts w:ascii="Arial" w:cs="Arial" w:eastAsia="Arial" w:hAnsi="Arial"/>
                <w:b/>
                <w:bCs/>
                <w:sz w:val="22"/>
                <w:szCs w:val="22"/>
              </w:rPr>
              <w:t xml:space="preserve">Active business registration. </w:t>
            </w:r>
            <w:r>
              <w:rPr>
                <w:rFonts w:ascii="Arial" w:cs="Arial" w:eastAsia="Arial" w:hAnsi="Arial"/>
                <w:sz w:val="22"/>
                <w:szCs w:val="22"/>
              </w:rPr>
              <w:t xml:space="preserve">Your UBI number must be active and in good standing with the Washington Secretary of State. Verify at sos.wa.gov/corps.</w:t>
            </w:r>
          </w:p>
          <w:p>
            <w:pPr>
              <w:spacing w:after="120"/>
            </w:pPr>
            <w:r>
              <w:rPr>
                <w:rFonts w:ascii="Arial" w:cs="Arial" w:eastAsia="Arial" w:hAnsi="Arial"/>
                <w:b/>
                <w:bCs/>
                <w:sz w:val="22"/>
                <w:szCs w:val="22"/>
              </w:rPr>
              <w:t xml:space="preserve">Business insurance. </w:t>
            </w:r>
            <w:r>
              <w:rPr>
                <w:rFonts w:ascii="Arial" w:cs="Arial" w:eastAsia="Arial" w:hAnsi="Arial"/>
                <w:sz w:val="22"/>
                <w:szCs w:val="22"/>
              </w:rPr>
              <w:t xml:space="preserve">Most government contracts require proof of general liability insurance at minimum. Know your coverage limits before responding to any solicitation.</w:t>
            </w:r>
          </w:p>
          <w:p>
            <w:pPr>
              <w:spacing w:after="120"/>
            </w:pPr>
            <w:r>
              <w:rPr>
                <w:rFonts w:ascii="Arial" w:cs="Arial" w:eastAsia="Arial" w:hAnsi="Arial"/>
                <w:b/>
                <w:bCs/>
                <w:sz w:val="22"/>
                <w:szCs w:val="22"/>
              </w:rPr>
              <w:t xml:space="preserve">Bonding. </w:t>
            </w:r>
            <w:r>
              <w:rPr>
                <w:rFonts w:ascii="Arial" w:cs="Arial" w:eastAsia="Arial" w:hAnsi="Arial"/>
                <w:sz w:val="22"/>
                <w:szCs w:val="22"/>
              </w:rPr>
              <w:t xml:space="preserve">Required for public works contracts in Washington State. If your services may involve work on public facilities, a surety bond is a prerequisite — not something to arrange after you win.</w:t>
            </w:r>
          </w:p>
          <w:p>
            <w:pPr>
              <w:spacing w:after="120"/>
            </w:pPr>
            <w:r>
              <w:rPr>
                <w:rFonts w:ascii="Arial" w:cs="Arial" w:eastAsia="Arial" w:hAnsi="Arial"/>
                <w:b/>
                <w:bCs/>
                <w:sz w:val="22"/>
                <w:szCs w:val="22"/>
              </w:rPr>
              <w:t xml:space="preserve">Access to capital. </w:t>
            </w:r>
            <w:r>
              <w:rPr>
                <w:rFonts w:ascii="Arial" w:cs="Arial" w:eastAsia="Arial" w:hAnsi="Arial"/>
                <w:sz w:val="22"/>
                <w:szCs w:val="22"/>
              </w:rPr>
              <w:t xml:space="preserve">Government contracts typically pay on net-30 to net-60 cycles after invoicing. You will need to cover labor, materials, and overhead before payment arrives. Confirm you have the cash flow or credit access to do so.</w:t>
            </w:r>
          </w:p>
          <w:p>
            <w:pPr>
              <w:spacing w:after="120"/>
            </w:pPr>
            <w:r>
              <w:rPr>
                <w:rFonts w:ascii="Arial" w:cs="Arial" w:eastAsia="Arial" w:hAnsi="Arial"/>
                <w:b/>
                <w:bCs/>
                <w:sz w:val="22"/>
                <w:szCs w:val="22"/>
              </w:rPr>
              <w:t xml:space="preserve">Team of advisors. </w:t>
            </w:r>
            <w:r>
              <w:rPr>
                <w:rFonts w:ascii="Arial" w:cs="Arial" w:eastAsia="Arial" w:hAnsi="Arial"/>
                <w:sz w:val="22"/>
                <w:szCs w:val="22"/>
              </w:rPr>
              <w:t xml:space="preserve">Government contracting introduces legal, financial, and operational complexity. Having an attorney, CPA, and banking relationship you can call on is not overhead — it is risk management.</w:t>
            </w:r>
          </w:p>
          <w:p>
            <w:pPr>
              <w:spacing w:after="120"/>
            </w:pPr>
            <w:r>
              <w:rPr>
                <w:rFonts w:ascii="Arial" w:cs="Arial" w:eastAsia="Arial" w:hAnsi="Arial"/>
                <w:i/>
                <w:iCs/>
                <w:sz w:val="22"/>
                <w:szCs w:val="22"/>
              </w:rPr>
              <w:t xml:space="preserve">If any of these are not yet in place, your Washington APEX Accelerator advisor can connect you with the Washington Small Business Development Center (WSBDC) or SCORE for no-cost support.</w:t>
            </w:r>
          </w:p>
        </w:tc>
      </w:tr>
    </w:tbl>
    <w:p>
      <w:pPr>
        <w:spacing w:after="200"/>
      </w:pPr>
    </w:p>
    <w:p>
      <w:r>
        <w:br w:type="page"/>
      </w:r>
    </w:p>
    <w:p>
      <w:pPr>
        <w:spacing w:after="240" w:before="360"/>
      </w:pPr>
      <w:r>
        <w:rPr>
          <w:rFonts w:ascii="Arial" w:cs="Arial" w:eastAsia="Arial" w:hAnsi="Arial"/>
          <w:b/>
          <w:bCs/>
          <w:color w:val="1B3A6B"/>
          <w:sz w:val="36"/>
          <w:szCs w:val="36"/>
        </w:rPr>
        <w:t xml:space="preserve">Section 1 — Keywords and Codes</w:t>
      </w:r>
    </w:p>
    <w:p>
      <w:pPr>
        <w:spacing w:after="180" w:before="280"/>
      </w:pPr>
      <w:r>
        <w:rPr>
          <w:rFonts w:ascii="Arial" w:cs="Arial" w:eastAsia="Arial" w:hAnsi="Arial"/>
          <w:b/>
          <w:bCs/>
          <w:color w:val="2E6DA4"/>
          <w:sz w:val="28"/>
          <w:szCs w:val="28"/>
        </w:rPr>
        <w:t xml:space="preserve">Plain-Language Keywords</w:t>
      </w:r>
    </w:p>
    <w:p>
      <w:pPr>
        <w:spacing w:after="120"/>
      </w:pPr>
      <w:r>
        <w:rPr>
          <w:rFonts w:ascii="Arial" w:cs="Arial" w:eastAsia="Arial" w:hAnsi="Arial"/>
          <w:sz w:val="22"/>
          <w:szCs w:val="22"/>
        </w:rPr>
        <w:t xml:space="preserve">These are the terms your company uses to describe your services. Use them when speaking directly with buyers and in your capabilities statement.</w:t>
      </w:r>
    </w:p>
    <w:p>
      <w:pPr>
        <w:spacing w:after="120"/>
      </w:pPr>
      <w:r>
        <w:rPr>
          <w:rFonts w:ascii="Arial" w:cs="Arial" w:eastAsia="Arial" w:hAnsi="Arial"/>
          <w:sz w:val="22"/>
          <w:szCs w:val="22"/>
        </w:rPr>
        <w:t xml:space="preserve">HVAC repair • HVAC installation • heating and cooling • air conditioning • furnace • heat pump • boiler • rooftop unit • ventilation • ductwork • mini split • ductless systems</w:t>
      </w:r>
    </w:p>
    <w:p>
      <w:pPr>
        <w:spacing w:after="200"/>
      </w:pPr>
    </w:p>
    <w:p>
      <w:pPr>
        <w:spacing w:after="180" w:before="280"/>
      </w:pPr>
      <w:r>
        <w:rPr>
          <w:rFonts w:ascii="Arial" w:cs="Arial" w:eastAsia="Arial" w:hAnsi="Arial"/>
          <w:b/>
          <w:bCs/>
          <w:color w:val="2E6DA4"/>
          <w:sz w:val="28"/>
          <w:szCs w:val="28"/>
        </w:rPr>
        <w:t xml:space="preserve">Government-Aligned Keywords</w:t>
      </w:r>
    </w:p>
    <w:p>
      <w:pPr>
        <w:spacing w:after="120"/>
      </w:pPr>
      <w:r>
        <w:rPr>
          <w:rFonts w:ascii="Arial" w:cs="Arial" w:eastAsia="Arial" w:hAnsi="Arial"/>
          <w:sz w:val="22"/>
          <w:szCs w:val="22"/>
        </w:rPr>
        <w:t xml:space="preserve">These terms are drawn from actual purchase order descriptions in the uploaded spend data for your service category. They reflect the exact language government buyers use when procuring comparable services. Use these in your portal registrations, saved searches, and bid responses.</w:t>
      </w:r>
    </w:p>
    <w:p>
      <w:pPr>
        <w:spacing w:after="120"/>
      </w:pPr>
      <w:r>
        <w:rPr>
          <w:rFonts w:ascii="Arial" w:cs="Arial" w:eastAsia="Arial" w:hAnsi="Arial"/>
          <w:sz w:val="22"/>
          <w:szCs w:val="22"/>
        </w:rPr>
        <w:t xml:space="preserve">HVAC maintenance and repair • HVAC system replacement • HVAC unit replacement • HVAC services • HVAC filter replacement • HVAC parts • preventive maintenance • heating system repair • heat pump installation • rooftop HVAC • boiler repair • chiller repair • air handler • direct digital controls (DDC) • cooling tower replacement • condensing unit • split system</w:t>
      </w:r>
    </w:p>
    <w:p>
      <w:pPr>
        <w:spacing w:after="200"/>
      </w:pPr>
    </w:p>
    <w:p>
      <w:pPr>
        <w:spacing w:after="180" w:before="280"/>
      </w:pPr>
      <w:r>
        <w:rPr>
          <w:rFonts w:ascii="Arial" w:cs="Arial" w:eastAsia="Arial" w:hAnsi="Arial"/>
          <w:b/>
          <w:bCs/>
          <w:color w:val="2E6DA4"/>
          <w:sz w:val="28"/>
          <w:szCs w:val="28"/>
        </w:rPr>
        <w:t xml:space="preserve">Negative Keywords</w:t>
      </w:r>
    </w:p>
    <w:p>
      <w:pPr>
        <w:spacing w:after="120"/>
      </w:pPr>
      <w:r>
        <w:rPr>
          <w:rFonts w:ascii="Arial" w:cs="Arial" w:eastAsia="Arial" w:hAnsi="Arial"/>
          <w:sz w:val="22"/>
          <w:szCs w:val="22"/>
        </w:rPr>
        <w:t xml:space="preserve">Exclude these from your procurement searches to reduce false matches.</w:t>
      </w:r>
    </w:p>
    <w:p>
      <w:pPr>
        <w:spacing w:after="120"/>
      </w:pPr>
      <w:r>
        <w:rPr>
          <w:rFonts w:ascii="Arial" w:cs="Arial" w:eastAsia="Arial" w:hAnsi="Arial"/>
          <w:sz w:val="22"/>
          <w:szCs w:val="22"/>
        </w:rPr>
        <w:t xml:space="preserve">Automotive/vehicle A/C • HVAC parts and supplies only (goods without installation) • commercial refrigeration (walk-in coolers) • standalone plumbing (non-HVAC) • standalone electrical • duct cleaning only • mechanical engineering and design services</w:t>
      </w:r>
    </w:p>
    <w:p>
      <w:pPr>
        <w:spacing w:after="200"/>
      </w:pPr>
    </w:p>
    <w:p>
      <w:pPr>
        <w:spacing w:after="180" w:before="280"/>
      </w:pPr>
      <w:r>
        <w:rPr>
          <w:rFonts w:ascii="Arial" w:cs="Arial" w:eastAsia="Arial" w:hAnsi="Arial"/>
          <w:b/>
          <w:bCs/>
          <w:color w:val="2E6DA4"/>
          <w:sz w:val="28"/>
          <w:szCs w:val="28"/>
        </w:rPr>
        <w:t xml:space="preserve">Subcontracting Keywords</w:t>
      </w:r>
    </w:p>
    <w:p>
      <w:pPr>
        <w:spacing w:after="120"/>
      </w:pPr>
      <w:r>
        <w:rPr>
          <w:rFonts w:ascii="Arial" w:cs="Arial" w:eastAsia="Arial" w:hAnsi="Arial"/>
          <w:sz w:val="22"/>
          <w:szCs w:val="22"/>
        </w:rPr>
        <w:t xml:space="preserve">These are project-type terms targeting the larger prime contract market. They describe the kinds of contracts that contain HVAC scope as a subcontracted line item. These terms are drawn from actual project descriptions in the uploaded subcontracting spend data.</w:t>
      </w:r>
    </w:p>
    <w:p>
      <w:pPr>
        <w:spacing w:after="120"/>
      </w:pPr>
      <w:r>
        <w:rPr>
          <w:rFonts w:ascii="Arial" w:cs="Arial" w:eastAsia="Arial" w:hAnsi="Arial"/>
          <w:sz w:val="22"/>
          <w:szCs w:val="22"/>
        </w:rPr>
        <w:t xml:space="preserve">School construction and modernization • facility renovation and improvements • facility upgrades • building additions • mechanical upgrades • HVAC upgrades • heat pump upgrades • tenant improvement • public works construction • library renovation • roof and HVAC replacement</w:t>
      </w:r>
    </w:p>
    <w:p>
      <w:pPr>
        <w:spacing w:after="200"/>
      </w:pPr>
    </w:p>
    <w:p>
      <w:pPr>
        <w:spacing w:after="180" w:before="280"/>
      </w:pPr>
      <w:r>
        <w:rPr>
          <w:rFonts w:ascii="Arial" w:cs="Arial" w:eastAsia="Arial" w:hAnsi="Arial"/>
          <w:b/>
          <w:bCs/>
          <w:color w:val="2E6DA4"/>
          <w:sz w:val="28"/>
          <w:szCs w:val="28"/>
        </w:rPr>
        <w:t xml:space="preserve">NIGP Codes — Local and State Markets</w:t>
      </w:r>
    </w:p>
    <w:p>
      <w:pPr>
        <w:spacing w:after="120"/>
      </w:pPr>
      <w:r>
        <w:rPr>
          <w:rFonts w:ascii="Arial" w:cs="Arial" w:eastAsia="Arial" w:hAnsi="Arial"/>
          <w:sz w:val="22"/>
          <w:szCs w:val="22"/>
        </w:rPr>
        <w:t xml:space="preserve">These codes are used for WEBS and MRSC registrations. Confirm exact sub-codes when registering.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Code</w:t>
            </w:r>
          </w:p>
        </w:tc>
        <w:tc>
          <w:tcPr>
            <w:tcW w:type="dxa" w:w="576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180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Market</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910-38</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Air Conditioning, Heating &amp; Ventilating Maintenance and Repair</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Local/State</w:t>
            </w:r>
          </w:p>
        </w:tc>
      </w:tr>
      <w:tr>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031</w:t>
            </w:r>
          </w:p>
        </w:tc>
        <w:tc>
          <w:tcPr>
            <w:tcW w:type="dxa" w:w="576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Air Conditioning, Heating, and Ventilating Equipment, Parts &amp; Accessories</w:t>
            </w:r>
          </w:p>
        </w:tc>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Local/State</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031-42</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Heating Equipment and Systems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Local/State</w:t>
            </w:r>
          </w:p>
        </w:tc>
      </w:tr>
      <w:tr>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936</w:t>
            </w:r>
          </w:p>
        </w:tc>
        <w:tc>
          <w:tcPr>
            <w:tcW w:type="dxa" w:w="576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Maintenance &amp; Repair, HVAC / Building</w:t>
            </w:r>
          </w:p>
        </w:tc>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Local/State</w:t>
            </w:r>
          </w:p>
        </w:tc>
      </w:tr>
    </w:tbl>
    <w:p>
      <w:pPr>
        <w:spacing w:after="200"/>
      </w:pPr>
    </w:p>
    <w:p>
      <w:pPr>
        <w:spacing w:after="180" w:before="280"/>
      </w:pPr>
      <w:r>
        <w:rPr>
          <w:rFonts w:ascii="Arial" w:cs="Arial" w:eastAsia="Arial" w:hAnsi="Arial"/>
          <w:b/>
          <w:bCs/>
          <w:color w:val="2E6DA4"/>
          <w:sz w:val="28"/>
          <w:szCs w:val="28"/>
        </w:rPr>
        <w:t xml:space="preserve">NAICS Codes — Federal Market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Code</w:t>
            </w:r>
          </w:p>
        </w:tc>
        <w:tc>
          <w:tcPr>
            <w:tcW w:type="dxa" w:w="576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180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Designation</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238220</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Plumbing, Heating, and Air-Conditioning Contractors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Primary</w:t>
            </w:r>
          </w:p>
        </w:tc>
      </w:tr>
      <w:tr>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811310</w:t>
            </w:r>
          </w:p>
        </w:tc>
        <w:tc>
          <w:tcPr>
            <w:tcW w:type="dxa" w:w="576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Commercial &amp; Industrial Machinery/Equipment Repair &amp; Maintenance</w:t>
            </w:r>
          </w:p>
        </w:tc>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Secondary</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238290</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Other Building Equipment Contractors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Secondary</w:t>
            </w:r>
          </w:p>
        </w:tc>
      </w:tr>
      <w:tr>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561210</w:t>
            </w:r>
          </w:p>
        </w:tc>
        <w:tc>
          <w:tcPr>
            <w:tcW w:type="dxa" w:w="576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Facilities Support Services</w:t>
            </w:r>
          </w:p>
        </w:tc>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Secondary</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238990</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All Other Specialty Trade Contractors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Secondary</w:t>
            </w:r>
          </w:p>
        </w:tc>
      </w:tr>
    </w:tbl>
    <w:p>
      <w:pPr>
        <w:spacing w:after="200"/>
      </w:pPr>
    </w:p>
    <w:p>
      <w:pPr>
        <w:spacing w:after="180" w:before="280"/>
      </w:pPr>
      <w:r>
        <w:rPr>
          <w:rFonts w:ascii="Arial" w:cs="Arial" w:eastAsia="Arial" w:hAnsi="Arial"/>
          <w:b/>
          <w:bCs/>
          <w:color w:val="2E6DA4"/>
          <w:sz w:val="28"/>
          <w:szCs w:val="28"/>
        </w:rPr>
        <w:t xml:space="preserve">PSC Codes — Federal Market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5760"/>
        <w:gridCol w:w="1800"/>
      </w:tblGrid>
      <w:tr>
        <w:tc>
          <w:tcPr>
            <w:tcW w:type="dxa" w:w="180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Code</w:t>
            </w:r>
          </w:p>
        </w:tc>
        <w:tc>
          <w:tcPr>
            <w:tcW w:type="dxa" w:w="576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Description</w:t>
            </w:r>
          </w:p>
        </w:tc>
        <w:tc>
          <w:tcPr>
            <w:tcW w:type="dxa" w:w="1800"/>
            <w:tcBorders>
              <w:top w:val="single" w:color="CCCCCC" w:sz="2"/>
              <w:left w:val="single" w:color="CCCCCC" w:sz="2"/>
              <w:bottom w:val="single" w:color="CCCCCC" w:sz="2"/>
              <w:right w:val="single" w:color="CCCCCC"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Category</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J041</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Maint/Repair/Rebuild of Refrigeration, Air Conditioning &amp; Air Circulating Equip</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Services</w:t>
            </w:r>
          </w:p>
        </w:tc>
      </w:tr>
      <w:tr>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J045</w:t>
            </w:r>
          </w:p>
        </w:tc>
        <w:tc>
          <w:tcPr>
            <w:tcW w:type="dxa" w:w="576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Maint/Repair of Plumbing, Heating &amp; Waste Disposal Equipment</w:t>
            </w:r>
          </w:p>
        </w:tc>
        <w:tc>
          <w:tcPr>
            <w:tcW w:type="dxa" w:w="1800"/>
            <w:tcBorders>
              <w:top w:val="single" w:color="CCCCCC" w:sz="2"/>
              <w:left w:val="single" w:color="CCCCCC" w:sz="2"/>
              <w:bottom w:val="single" w:color="CCCCCC" w:sz="2"/>
              <w:right w:val="single" w:color="CCCCCC" w:sz="2"/>
            </w:tcBorders>
            <w:shd w:fill="F5F5F5" w:val="clear"/>
            <w:tcMar>
              <w:top w:type="dxa" w:w="80"/>
              <w:left w:type="dxa" w:w="120"/>
              <w:bottom w:type="dxa" w:w="80"/>
              <w:right w:type="dxa" w:w="120"/>
            </w:tcMar>
          </w:tcPr>
          <w:p>
            <w:r>
              <w:rPr>
                <w:rFonts w:ascii="Arial" w:cs="Arial" w:eastAsia="Arial" w:hAnsi="Arial"/>
                <w:sz w:val="20"/>
                <w:szCs w:val="20"/>
              </w:rPr>
              <w:t xml:space="preserve">Services</w:t>
            </w:r>
          </w:p>
        </w:tc>
      </w:tr>
      <w:tr>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Z2AA</w:t>
            </w:r>
          </w:p>
        </w:tc>
        <w:tc>
          <w:tcPr>
            <w:tcW w:type="dxa" w:w="576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Repair or Alteration of Real Property (HVAC in buildings)</w:t>
            </w:r>
          </w:p>
        </w:tc>
        <w:tc>
          <w:tcPr>
            <w:tcW w:type="dxa" w:w="1800"/>
            <w:tcBorders>
              <w:top w:val="single" w:color="CCCCCC" w:sz="2"/>
              <w:left w:val="single" w:color="CCCCCC" w:sz="2"/>
              <w:bottom w:val="single" w:color="CCCCCC" w:sz="2"/>
              <w:right w:val="single" w:color="CCCCCC" w:sz="2"/>
            </w:tcBorders>
            <w:shd w:fill="FFFFFF" w:val="clear"/>
            <w:tcMar>
              <w:top w:type="dxa" w:w="80"/>
              <w:left w:type="dxa" w:w="120"/>
              <w:bottom w:type="dxa" w:w="80"/>
              <w:right w:type="dxa" w:w="120"/>
            </w:tcMar>
          </w:tcPr>
          <w:p>
            <w:r>
              <w:rPr>
                <w:rFonts w:ascii="Arial" w:cs="Arial" w:eastAsia="Arial" w:hAnsi="Arial"/>
                <w:sz w:val="20"/>
                <w:szCs w:val="20"/>
              </w:rPr>
              <w:t xml:space="preserve">Construction</w:t>
            </w:r>
          </w:p>
        </w:tc>
      </w:tr>
    </w:tbl>
    <w:p>
      <w:pPr>
        <w:spacing w:after="200"/>
      </w:pPr>
    </w:p>
    <w:p>
      <w:r>
        <w:br w:type="page"/>
      </w:r>
    </w:p>
    <w:p>
      <w:pPr>
        <w:spacing w:after="240" w:before="360"/>
      </w:pPr>
      <w:r>
        <w:rPr>
          <w:rFonts w:ascii="Arial" w:cs="Arial" w:eastAsia="Arial" w:hAnsi="Arial"/>
          <w:b/>
          <w:bCs/>
          <w:color w:val="1B3A6B"/>
          <w:sz w:val="36"/>
          <w:szCs w:val="36"/>
        </w:rPr>
        <w:t xml:space="preserve">Section 2 — Target Agencies and Primes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7000" w:sz="12"/>
              <w:left w:val="single" w:color="C07000" w:sz="12"/>
              <w:bottom w:val="single" w:color="C07000" w:sz="12"/>
              <w:right w:val="single" w:color="C07000" w:sz="12"/>
            </w:tcBorders>
            <w:shd w:fill="FFF8E1" w:val="clear"/>
            <w:tcMar>
              <w:top w:type="dxa" w:w="160"/>
              <w:left w:type="dxa" w:w="200"/>
              <w:bottom w:type="dxa" w:w="160"/>
              <w:right w:type="dxa" w:w="200"/>
            </w:tcMar>
          </w:tcPr>
          <w:p>
            <w:pPr>
              <w:spacing w:after="80"/>
            </w:pPr>
            <w:r>
              <w:rPr>
                <w:rFonts w:ascii="Arial" w:cs="Arial" w:eastAsia="Arial" w:hAnsi="Arial"/>
                <w:b/>
                <w:bCs/>
                <w:color w:val="C07000"/>
                <w:sz w:val="24"/>
                <w:szCs w:val="24"/>
              </w:rPr>
              <w:t xml:space="preserve">Public Works Compliance — Washington State</w:t>
            </w:r>
          </w:p>
          <w:p>
            <w:pPr>
              <w:spacing w:after="120"/>
            </w:pPr>
            <w:r>
              <w:rPr>
                <w:rFonts w:ascii="Arial" w:cs="Arial" w:eastAsia="Arial" w:hAnsi="Arial"/>
                <w:sz w:val="22"/>
                <w:szCs w:val="22"/>
              </w:rPr>
              <w:t xml:space="preserve">Your services as an HVAC contractor trigger public works compliance requirements. All work performed on publicly owned facilities or infrastructure in Washington State is subject to the regulations below, regardless of which market tier the contract comes through. These requirements add cost and administrative steps that should factor into whether and how you pursue public works opportunities. Your APEX advisor can walk you through what applies to a specific contract. The items below identify the requirements; they are not a substitute for advisor guidance or the official L&amp;I source.</w:t>
            </w:r>
          </w:p>
          <w:p>
            <w:pPr>
              <w:spacing w:after="120"/>
            </w:pPr>
            <w:r>
              <w:rPr>
                <w:rFonts w:ascii="Arial" w:cs="Arial" w:eastAsia="Arial" w:hAnsi="Arial"/>
                <w:b/>
                <w:bCs/>
                <w:sz w:val="22"/>
                <w:szCs w:val="22"/>
              </w:rPr>
              <w:t xml:space="preserve">Prevailing wage: </w:t>
            </w:r>
            <w:r>
              <w:rPr>
                <w:rFonts w:ascii="Arial" w:cs="Arial" w:eastAsia="Arial" w:hAnsi="Arial"/>
                <w:sz w:val="22"/>
                <w:szCs w:val="22"/>
              </w:rPr>
              <w:t xml:space="preserve">Washington State law requires workers on public works projects to be paid no less than the prevailing wage rate for their trade and county. Rates are set by L&amp;I and updated periodically. Always confirm the current rate for your trade and county before relying on a figure.</w:t>
            </w:r>
          </w:p>
          <w:p>
            <w:pPr>
              <w:spacing w:after="120"/>
            </w:pPr>
            <w:r>
              <w:rPr>
                <w:rFonts w:ascii="Arial" w:cs="Arial" w:eastAsia="Arial" w:hAnsi="Arial"/>
                <w:b/>
                <w:bCs/>
                <w:sz w:val="22"/>
                <w:szCs w:val="22"/>
              </w:rPr>
              <w:t xml:space="preserve">Certified payroll: </w:t>
            </w:r>
            <w:r>
              <w:rPr>
                <w:rFonts w:ascii="Arial" w:cs="Arial" w:eastAsia="Arial" w:hAnsi="Arial"/>
                <w:sz w:val="22"/>
                <w:szCs w:val="22"/>
              </w:rPr>
              <w:t xml:space="preserve">A weekly report documenting every worker, trade classification, hours, and pay rate. Both primes and subcontractors file independently through the L&amp;I online system.</w:t>
            </w:r>
          </w:p>
          <w:p>
            <w:pPr>
              <w:spacing w:after="120"/>
            </w:pPr>
            <w:r>
              <w:rPr>
                <w:rFonts w:ascii="Arial" w:cs="Arial" w:eastAsia="Arial" w:hAnsi="Arial"/>
                <w:b/>
                <w:bCs/>
                <w:sz w:val="22"/>
                <w:szCs w:val="22"/>
              </w:rPr>
              <w:t xml:space="preserve">Statement of Intent to Pay Prevailing Wages: </w:t>
            </w:r>
            <w:r>
              <w:rPr>
                <w:rFonts w:ascii="Arial" w:cs="Arial" w:eastAsia="Arial" w:hAnsi="Arial"/>
                <w:sz w:val="22"/>
                <w:szCs w:val="22"/>
              </w:rPr>
              <w:t xml:space="preserve">Filed before work begins. A per-project filing fee applies; confirm the current amount at lni.wa.gov.</w:t>
            </w:r>
          </w:p>
          <w:p>
            <w:pPr>
              <w:spacing w:after="120"/>
            </w:pPr>
            <w:r>
              <w:rPr>
                <w:rFonts w:ascii="Arial" w:cs="Arial" w:eastAsia="Arial" w:hAnsi="Arial"/>
                <w:b/>
                <w:bCs/>
                <w:sz w:val="22"/>
                <w:szCs w:val="22"/>
              </w:rPr>
              <w:t xml:space="preserve">Affidavit of Wages Paid: </w:t>
            </w:r>
            <w:r>
              <w:rPr>
                <w:rFonts w:ascii="Arial" w:cs="Arial" w:eastAsia="Arial" w:hAnsi="Arial"/>
                <w:sz w:val="22"/>
                <w:szCs w:val="22"/>
              </w:rPr>
              <w:t xml:space="preserve">Filed after project completion. A per-project filing fee applies; confirm the current amount at lni.wa.gov. Final payment cannot be released until filed.</w:t>
            </w:r>
          </w:p>
          <w:p>
            <w:pPr>
              <w:spacing w:after="120"/>
            </w:pPr>
            <w:r>
              <w:rPr>
                <w:rFonts w:ascii="Arial" w:cs="Arial" w:eastAsia="Arial" w:hAnsi="Arial"/>
                <w:b/>
                <w:bCs/>
                <w:sz w:val="22"/>
                <w:szCs w:val="22"/>
              </w:rPr>
              <w:t xml:space="preserve">L&amp;I Public Works Contractor Registration: </w:t>
            </w:r>
            <w:r>
              <w:rPr>
                <w:rFonts w:ascii="Arial" w:cs="Arial" w:eastAsia="Arial" w:hAnsi="Arial"/>
                <w:sz w:val="22"/>
                <w:szCs w:val="22"/>
              </w:rPr>
              <w:t xml:space="preserve">Required before receiving any public works award. This is separate from your standard contractor license.</w:t>
            </w:r>
          </w:p>
          <w:p>
            <w:pPr>
              <w:spacing w:after="120"/>
            </w:pPr>
            <w:r>
              <w:rPr>
                <w:rFonts w:ascii="Arial" w:cs="Arial" w:eastAsia="Arial" w:hAnsi="Arial"/>
                <w:b/>
                <w:bCs/>
                <w:sz w:val="22"/>
                <w:szCs w:val="22"/>
              </w:rPr>
              <w:t xml:space="preserve">L&amp;I prevailing wage contact: </w:t>
            </w:r>
            <w:r>
              <w:rPr>
                <w:rFonts w:ascii="Arial" w:cs="Arial" w:eastAsia="Arial" w:hAnsi="Arial"/>
                <w:sz w:val="22"/>
                <w:szCs w:val="22"/>
              </w:rPr>
              <w:t xml:space="preserve">pw1@lni.wa.gov | (360) 902-5335</w:t>
            </w:r>
          </w:p>
          <w:p>
            <w:pPr>
              <w:spacing w:after="120"/>
            </w:pPr>
            <w:r>
              <w:rPr>
                <w:rFonts w:ascii="Arial" w:cs="Arial" w:eastAsia="Arial" w:hAnsi="Arial"/>
                <w:b/>
                <w:bCs/>
                <w:sz w:val="22"/>
                <w:szCs w:val="22"/>
              </w:rPr>
              <w:t xml:space="preserve">Prevailing wage rate lookup: </w:t>
            </w:r>
            <w:r>
              <w:rPr>
                <w:rFonts w:ascii="Arial" w:cs="Arial" w:eastAsia="Arial" w:hAnsi="Arial"/>
                <w:sz w:val="22"/>
                <w:szCs w:val="22"/>
              </w:rPr>
              <w:t xml:space="preserve">lni.wa.gov/licensing-permits/public-works-projects/prevailing-wage-rates</w:t>
            </w:r>
          </w:p>
          <w:p>
            <w:pPr>
              <w:spacing w:after="200"/>
            </w:pPr>
          </w:p>
          <w:p>
            <w:pPr>
              <w:spacing w:after="120"/>
            </w:pPr>
            <w:r>
              <w:rPr>
                <w:rFonts w:ascii="Arial" w:cs="Arial" w:eastAsia="Arial" w:hAnsi="Arial"/>
                <w:b/>
                <w:bCs/>
                <w:sz w:val="22"/>
                <w:szCs w:val="22"/>
              </w:rPr>
              <w:t xml:space="preserve">Davis-Bacon Act (Federal contracts): </w:t>
            </w:r>
            <w:r>
              <w:rPr>
                <w:rFonts w:ascii="Arial" w:cs="Arial" w:eastAsia="Arial" w:hAnsi="Arial"/>
                <w:sz w:val="22"/>
                <w:szCs w:val="22"/>
              </w:rPr>
              <w:t xml:space="preserve">Federally funded construction and service contracts performed in Washington State are also subject to Davis-Bacon Act prevailing wage requirements. Davis-Bacon rates are set by the U.S. Department of Labor and included in federal contract solicitations. Washington State prevailing wage rates frequently exceed Davis-Bacon rates — when both apply to the same project, the higher rate governs. Contractors must track and comply with both rate schedules and file certified payroll under whichever system the contract requires. Your APEX advisor can help you understand which wage determinations apply to a specific federal opportunity.</w:t>
            </w:r>
          </w:p>
        </w:tc>
      </w:tr>
    </w:tbl>
    <w:p>
      <w:pPr>
        <w:spacing w:after="200"/>
      </w:pPr>
    </w:p>
    <w:p>
      <w:pPr>
        <w:spacing w:after="180" w:before="280"/>
      </w:pPr>
      <w:r>
        <w:rPr>
          <w:rFonts w:ascii="Arial" w:cs="Arial" w:eastAsia="Arial" w:hAnsi="Arial"/>
          <w:b/>
          <w:bCs/>
          <w:color w:val="2E6DA4"/>
          <w:sz w:val="28"/>
          <w:szCs w:val="28"/>
        </w:rPr>
        <w:t xml:space="preserve">Local Market</w:t>
      </w:r>
    </w:p>
    <w:p>
      <w:pPr>
        <w:spacing w:after="120"/>
      </w:pPr>
      <w:r>
        <w:rPr>
          <w:rFonts w:ascii="Arial" w:cs="Arial" w:eastAsia="Arial" w:hAnsi="Arial"/>
          <w:sz w:val="22"/>
          <w:szCs w:val="22"/>
        </w:rPr>
        <w:t xml:space="preserve">Local agencies can make purchases below their bid threshold without a competitive process — the buyer can contact you directly and issue a purchase order. Each entity sets its own threshold under its enabling statute, so there is no single statewide number. The practical point is that smaller purchases are often non-competitive and relationship-driven, and that is where new vendors find the highest volume and lowest competition. Your APEX advisor can help identify a specific agency’s threshold when a real opportunity is in view.</w:t>
      </w:r>
    </w:p>
    <w:p>
      <w:pPr>
        <w:spacing w:after="200"/>
      </w:pPr>
    </w:p>
    <w:p>
      <w:pPr>
        <w:spacing w:after="120" w:before="240"/>
      </w:pPr>
      <w:r>
        <w:rPr>
          <w:rFonts w:ascii="Arial" w:cs="Arial" w:eastAsia="Arial" w:hAnsi="Arial"/>
          <w:b/>
          <w:bCs/>
          <w:color w:val="1B3A6B"/>
          <w:sz w:val="24"/>
          <w:szCs w:val="24"/>
        </w:rPr>
        <w:t xml:space="preserve">Primary Agency-Type Summary</w:t>
      </w:r>
    </w:p>
    <w:p>
      <w:pPr>
        <w:spacing w:after="120"/>
      </w:pPr>
      <w:r>
        <w:rPr>
          <w:rFonts w:ascii="Arial" w:cs="Arial" w:eastAsia="Arial" w:hAnsi="Arial"/>
          <w:sz w:val="22"/>
          <w:szCs w:val="22"/>
        </w:rPr>
        <w:t xml:space="preserve">The uploaded spend data shows the strongest HVAC buying signals from three entity types in the Snohomish, Skagit, and Whatcom county area. Library districts appear with high-frequency, recurring HVAC maintenance and repair contracts, driven by aging building systems across multiple branch locations. Cities show consistent HVAC spend for municipal facility maintenance and capital projects, including police stations, community centers, golf courses, and wastewater treatment facilities. Counties procure HVAC design and system upgrades for courthouse complexes, administrative buildings, and public health facilities. School districts also appear with strong volume, purchasing both routine HVAC maintenance calls and large-scale system upgrades for aging school buildings. For your outreach strategy, library districts and school districts represent the highest volume of accessible, recurring maintenance work, while cities and counties offer a mix of maintenance and project-based opportunities.</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Sno-Isle Libraries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63 vetted relevant transactions totaling $2,470,882 (August 2021 – December 2025)</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POs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Districtwide HVAC Maintenance and Repair Unit Price Contract ($350,000)</w:t>
            </w:r>
          </w:p>
          <w:p>
            <w:pPr>
              <w:spacing w:after="40"/>
            </w:pPr>
            <w:r>
              <w:rPr>
                <w:rFonts w:ascii="Arial" w:cs="Arial" w:eastAsia="Arial" w:hAnsi="Arial"/>
                <w:sz w:val="20"/>
                <w:szCs w:val="20"/>
              </w:rPr>
              <w:t xml:space="preserve">Districtwide HVAC Maintenance and Repair Unit Price Contract — 2024/25 Addendum Renewal ($350,000)</w:t>
            </w:r>
          </w:p>
          <w:p>
            <w:pPr>
              <w:spacing w:after="40"/>
            </w:pPr>
            <w:r>
              <w:rPr>
                <w:rFonts w:ascii="Arial" w:cs="Arial" w:eastAsia="Arial" w:hAnsi="Arial"/>
                <w:sz w:val="20"/>
                <w:szCs w:val="20"/>
              </w:rPr>
              <w:t xml:space="preserve">Snohomish Library HVAC Replacement ($223,672)</w:t>
            </w:r>
          </w:p>
          <w:p>
            <w:pPr>
              <w:spacing w:after="40"/>
            </w:pPr>
            <w:r>
              <w:rPr>
                <w:rFonts w:ascii="Arial" w:cs="Arial" w:eastAsia="Arial" w:hAnsi="Arial"/>
                <w:sz w:val="20"/>
                <w:szCs w:val="20"/>
              </w:rPr>
              <w:t xml:space="preserve">Service Center — HVAC Rooftop Unit Installations ($147,793)</w:t>
            </w:r>
          </w:p>
          <w:p>
            <w:pPr>
              <w:spacing w:after="40"/>
            </w:pPr>
            <w:r>
              <w:rPr>
                <w:rFonts w:ascii="Arial" w:cs="Arial" w:eastAsia="Arial" w:hAnsi="Arial"/>
                <w:sz w:val="20"/>
                <w:szCs w:val="20"/>
              </w:rPr>
              <w:t xml:space="preserve">Millcreek Library Tenant Improvement Project ($972,898)</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Strong multi-year HVAC procurement pattern with both recurring maintenance contracts and capital replacement projects. 51 of 63 relevant transactions fall below $10,000, indicating high-frequency maintenance activity accessible without formal bidding. The district operates 23 branch locations across Snohomish and Island counties, creating consistent demand for HVAC service across a dispersed facility portfolio.</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Spend includes one large tenant improvement project ($972,898) that inflates the total; recurring HVAC maintenance spend excluding that project is approximately $1.5M over the data period.</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Primary incumbent vendor by spend in HVAC maintenance scope: Air Care System ($906,287). Vander Veen Construction holds the largest single award for a library renovation project.</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7000" w:sz="12"/>
              <w:left w:val="single" w:color="C07000" w:sz="12"/>
              <w:bottom w:val="single" w:color="C07000" w:sz="12"/>
              <w:right w:val="single" w:color="C07000" w:sz="12"/>
            </w:tcBorders>
            <w:shd w:fill="FFF8E1" w:val="clear"/>
            <w:tcMar>
              <w:top w:type="dxa" w:w="160"/>
              <w:left w:type="dxa" w:w="200"/>
              <w:bottom w:type="dxa" w:w="160"/>
              <w:right w:type="dxa" w:w="200"/>
            </w:tcMar>
          </w:tcPr>
          <w:p>
            <w:pPr>
              <w:spacing w:after="80"/>
            </w:pPr>
            <w:r>
              <w:rPr>
                <w:rFonts w:ascii="Arial" w:cs="Arial" w:eastAsia="Arial" w:hAnsi="Arial"/>
                <w:b/>
                <w:bCs/>
                <w:color w:val="C07000"/>
                <w:sz w:val="24"/>
                <w:szCs w:val="24"/>
              </w:rPr>
              <w:t xml:space="preserve">Micro-Purchase Opportunity</w:t>
            </w:r>
          </w:p>
          <w:p>
            <w:pPr>
              <w:spacing w:after="120"/>
            </w:pPr>
            <w:r>
              <w:rPr>
                <w:rFonts w:ascii="Arial" w:cs="Arial" w:eastAsia="Arial" w:hAnsi="Arial"/>
                <w:sz w:val="22"/>
                <w:szCs w:val="22"/>
              </w:rPr>
              <w:t xml:space="preserve">The data shows 51 HVAC transactions at Sno-Isle Libraries below $10,000. At this level, purchases typically fall below the entity’s bid threshold and can be made through direct contact with the buyer — no competitive bid required. This is the entry point for a new vendor to establish a service relationship and build a track record of government past performance.</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City of Bellingham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47 vetted relevant transactions totaling $2,112,545 (December 2022 – January 2026)</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POs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Post Point Re-Roof &amp; HVAC ($1,822,003)</w:t>
            </w:r>
          </w:p>
          <w:p>
            <w:pPr>
              <w:spacing w:after="40"/>
            </w:pPr>
            <w:r>
              <w:rPr>
                <w:rFonts w:ascii="Arial" w:cs="Arial" w:eastAsia="Arial" w:hAnsi="Arial"/>
                <w:sz w:val="20"/>
                <w:szCs w:val="20"/>
              </w:rPr>
              <w:t xml:space="preserve">Bayview Cemetery Mausoleum Reroof, HVAC Replacement ($77,933)</w:t>
            </w:r>
          </w:p>
          <w:p>
            <w:pPr>
              <w:spacing w:after="40"/>
            </w:pPr>
            <w:r>
              <w:rPr>
                <w:rFonts w:ascii="Arial" w:cs="Arial" w:eastAsia="Arial" w:hAnsi="Arial"/>
                <w:sz w:val="20"/>
                <w:szCs w:val="20"/>
              </w:rPr>
              <w:t xml:space="preserve">Lake Padden Golf — Rooftop HVAC ($30,572)</w:t>
            </w:r>
          </w:p>
          <w:p>
            <w:pPr>
              <w:spacing w:after="40"/>
            </w:pPr>
            <w:r>
              <w:rPr>
                <w:rFonts w:ascii="Arial" w:cs="Arial" w:eastAsia="Arial" w:hAnsi="Arial"/>
                <w:sz w:val="20"/>
                <w:szCs w:val="20"/>
              </w:rPr>
              <w:t xml:space="preserve">Annual MBT HVAC Maintenance ($20,310)</w:t>
            </w:r>
          </w:p>
          <w:p>
            <w:pPr>
              <w:spacing w:after="40"/>
            </w:pPr>
            <w:r>
              <w:rPr>
                <w:rFonts w:ascii="Arial" w:cs="Arial" w:eastAsia="Arial" w:hAnsi="Arial"/>
                <w:sz w:val="20"/>
                <w:szCs w:val="20"/>
              </w:rPr>
              <w:t xml:space="preserve">HVAC Repairs/Library — Change Out Heat Exchanger ($9,134)</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Consistent HVAC spend across multiple city facility types including wastewater treatment, recreation, libraries, and public buildings. 36 of 47 relevant transactions fall below $10,000, showing regular maintenance-level purchasing. The city uses both project-based contracts for capital HVAC work and recurring maintenance agreements through IDIQ (indefinite-delivery/indefinite-quantity) task orders.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The Post Point re-roof and HVAC project ($1.82M) was awarded to a roofing contractor, reflecting combined roof/HVAC scope. Recurring HVAC maintenance spend excluding major capital projects is approximately $290,000 over the data period.</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Primary incumbent vendor by spend in recurring HVAC maintenance scope: Blythe Mechanical ($144,511 across multiple annual maintenance and repair task orders).</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7000" w:sz="12"/>
              <w:left w:val="single" w:color="C07000" w:sz="12"/>
              <w:bottom w:val="single" w:color="C07000" w:sz="12"/>
              <w:right w:val="single" w:color="C07000" w:sz="12"/>
            </w:tcBorders>
            <w:shd w:fill="FFF8E1" w:val="clear"/>
            <w:tcMar>
              <w:top w:type="dxa" w:w="160"/>
              <w:left w:type="dxa" w:w="200"/>
              <w:bottom w:type="dxa" w:w="160"/>
              <w:right w:type="dxa" w:w="200"/>
            </w:tcMar>
          </w:tcPr>
          <w:p>
            <w:pPr>
              <w:spacing w:after="80"/>
            </w:pPr>
            <w:r>
              <w:rPr>
                <w:rFonts w:ascii="Arial" w:cs="Arial" w:eastAsia="Arial" w:hAnsi="Arial"/>
                <w:b/>
                <w:bCs/>
                <w:color w:val="C07000"/>
                <w:sz w:val="24"/>
                <w:szCs w:val="24"/>
              </w:rPr>
              <w:t xml:space="preserve">Micro-Purchase Opportunity</w:t>
            </w:r>
          </w:p>
          <w:p>
            <w:pPr>
              <w:spacing w:after="120"/>
            </w:pPr>
            <w:r>
              <w:rPr>
                <w:rFonts w:ascii="Arial" w:cs="Arial" w:eastAsia="Arial" w:hAnsi="Arial"/>
                <w:sz w:val="22"/>
                <w:szCs w:val="22"/>
              </w:rPr>
              <w:t xml:space="preserve">The data shows 36 HVAC transactions at the City of Bellingham below $10,000. These maintenance-level purchases are typically handled through direct vendor contact. The city’s use of IDIQ task orders for HVAC maintenance means that once you are an approved vendor, individual service calls can be dispatched without a new procurement for each one.</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County of Whatcom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42 vetted relevant transactions totaling $1,840,011 (July 2021 – April 2024)</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POs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HVAC Design Services ($1,058,050)</w:t>
            </w:r>
          </w:p>
          <w:p>
            <w:pPr>
              <w:spacing w:after="40"/>
            </w:pPr>
            <w:r>
              <w:rPr>
                <w:rFonts w:ascii="Arial" w:cs="Arial" w:eastAsia="Arial" w:hAnsi="Arial"/>
                <w:sz w:val="20"/>
                <w:szCs w:val="20"/>
              </w:rPr>
              <w:t xml:space="preserve">Design/Construction HVAC ($243,000)</w:t>
            </w:r>
          </w:p>
          <w:p>
            <w:pPr>
              <w:spacing w:after="40"/>
            </w:pPr>
            <w:r>
              <w:rPr>
                <w:rFonts w:ascii="Arial" w:cs="Arial" w:eastAsia="Arial" w:hAnsi="Arial"/>
                <w:sz w:val="20"/>
                <w:szCs w:val="20"/>
              </w:rPr>
              <w:t xml:space="preserve">Admin HVAC ($197,476)</w:t>
            </w:r>
          </w:p>
          <w:p>
            <w:pPr>
              <w:spacing w:after="40"/>
            </w:pPr>
            <w:r>
              <w:rPr>
                <w:rFonts w:ascii="Arial" w:cs="Arial" w:eastAsia="Arial" w:hAnsi="Arial"/>
                <w:sz w:val="20"/>
                <w:szCs w:val="20"/>
              </w:rPr>
              <w:t xml:space="preserve">Heating System ($59,730)</w:t>
            </w:r>
          </w:p>
          <w:p>
            <w:pPr>
              <w:spacing w:after="40"/>
            </w:pPr>
            <w:r>
              <w:rPr>
                <w:rFonts w:ascii="Arial" w:cs="Arial" w:eastAsia="Arial" w:hAnsi="Arial"/>
                <w:sz w:val="20"/>
                <w:szCs w:val="20"/>
              </w:rPr>
              <w:t xml:space="preserve">Heating Fuel ($238,057)</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Significant HVAC investment in county facilities including courthouse, administrative buildings, and public health offices. 37 of 42 relevant transactions fall below $10,000, indicating accessible maintenance-level purchasing. The county has active HVAC system upgrade projects alongside routine maintenance needs.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The largest single award ($1.06M) was for HVAC design services, not direct installation or repair work. A significant portion of the total spend is in engineering and design rather than hands-on HVAC trades. Most recent transaction dates to April 2024; newer data may show continued activity.</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Primary vendor by spend in HVAC scope: FSI Engineers ($1,058,050 in HVAC design services). For direct HVAC maintenance and repair scope, Nelson Reisner holds $238,057 in heating-related work.</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7000" w:sz="12"/>
              <w:left w:val="single" w:color="C07000" w:sz="12"/>
              <w:bottom w:val="single" w:color="C07000" w:sz="12"/>
              <w:right w:val="single" w:color="C07000" w:sz="12"/>
            </w:tcBorders>
            <w:shd w:fill="FFF8E1" w:val="clear"/>
            <w:tcMar>
              <w:top w:type="dxa" w:w="160"/>
              <w:left w:type="dxa" w:w="200"/>
              <w:bottom w:type="dxa" w:w="160"/>
              <w:right w:type="dxa" w:w="200"/>
            </w:tcMar>
          </w:tcPr>
          <w:p>
            <w:pPr>
              <w:spacing w:after="80"/>
            </w:pPr>
            <w:r>
              <w:rPr>
                <w:rFonts w:ascii="Arial" w:cs="Arial" w:eastAsia="Arial" w:hAnsi="Arial"/>
                <w:b/>
                <w:bCs/>
                <w:color w:val="C07000"/>
                <w:sz w:val="24"/>
                <w:szCs w:val="24"/>
              </w:rPr>
              <w:t xml:space="preserve">Micro-Purchase Opportunity</w:t>
            </w:r>
          </w:p>
          <w:p>
            <w:pPr>
              <w:spacing w:after="120"/>
            </w:pPr>
            <w:r>
              <w:rPr>
                <w:rFonts w:ascii="Arial" w:cs="Arial" w:eastAsia="Arial" w:hAnsi="Arial"/>
                <w:sz w:val="22"/>
                <w:szCs w:val="22"/>
              </w:rPr>
              <w:t xml:space="preserve">The data shows 37 HVAC-related transactions at Whatcom County below $10,000. These smaller maintenance and repair purchases represent the most accessible entry point for a new vendor to establish a working relationship with the county’s facilities management team.</w:t>
            </w:r>
          </w:p>
        </w:tc>
      </w:tr>
    </w:tbl>
    <w:p>
      <w:pPr>
        <w:spacing w:after="200"/>
      </w:pPr>
    </w:p>
    <w:p>
      <w:pPr>
        <w:spacing w:after="120" w:before="240"/>
      </w:pPr>
      <w:r>
        <w:rPr>
          <w:rFonts w:ascii="Arial" w:cs="Arial" w:eastAsia="Arial" w:hAnsi="Arial"/>
          <w:b/>
          <w:bCs/>
          <w:color w:val="1B3A6B"/>
          <w:sz w:val="24"/>
          <w:szCs w:val="24"/>
        </w:rPr>
        <w:t xml:space="preserve">Prime Contractors — Local Subcontracting Opportunities</w:t>
      </w:r>
    </w:p>
    <w:p>
      <w:pPr>
        <w:spacing w:after="120"/>
      </w:pPr>
      <w:r>
        <w:rPr>
          <w:rFonts w:ascii="Arial" w:cs="Arial" w:eastAsia="Arial" w:hAnsi="Arial"/>
          <w:sz w:val="22"/>
          <w:szCs w:val="22"/>
        </w:rPr>
        <w:t xml:space="preserve">These are general contractors who win large construction and facility projects in your service area where HVAC is a likely subcontracted scope. Building a relationship with these primes positions you to receive subcontract work on their future projects.</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Forma Construction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Contracts Won</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37 contracts totaling $139,928,942 in the uploaded data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Agencies Served</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Washington School Information Processing Cooperative (WSIPC), City of Lynnwood, Washington Community Transit, City of Bellingham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Typical Award Range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$115,620 – $40,366,090 per project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Scope Alignment</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Large-scale school construction and modernization projects, community recreation center construction, public facility improvements. Projects of this size and type routinely include HVAC installation as a major mechanical subcontract.</w:t>
            </w:r>
          </w:p>
        </w:tc>
      </w:tr>
      <w:tr>
        <w:tc>
          <w:tcPr>
            <w:tcW w:type="dxa" w:w="9360"/>
            <w:gridSpan w:val="2"/>
            <w:tcBorders>
              <w:top w:val="single" w:color="2E6DA4" w:sz="6"/>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2E6DA4"/>
                <w:sz w:val="20"/>
                <w:szCs w:val="20"/>
              </w:rPr>
              <w:t xml:space="preserve">(▸) </w:t>
            </w:r>
            <w:r>
              <w:rPr>
                <w:rFonts w:ascii="Arial" w:cs="Arial" w:eastAsia="Arial" w:hAnsi="Arial"/>
                <w:i/>
                <w:iCs/>
                <w:sz w:val="20"/>
                <w:szCs w:val="20"/>
              </w:rPr>
              <w:t xml:space="preserve">Primary agency by spend contracting with Forma Construction: Washington School Information Processing Cooperative (WSIPC), a purchasing cooperative serving school districts across the region.</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Marshbank Construction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Contracts Won</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11 contracts totaling $9,548,498 in the uploaded data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Agencies Served</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City of Lynnwood, City of Mountlake Terrace, City of Monroe</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Typical Award Range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$200,000 – $3,000,000 per project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Scope Alignment</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Municipal facility construction and renovation in Snohomish County cities. City building projects in this range regularly include HVAC scope as a subcontracted line item.</w:t>
            </w:r>
          </w:p>
        </w:tc>
      </w:tr>
      <w:tr>
        <w:tc>
          <w:tcPr>
            <w:tcW w:type="dxa" w:w="9360"/>
            <w:gridSpan w:val="2"/>
            <w:tcBorders>
              <w:top w:val="single" w:color="2E6DA4" w:sz="6"/>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2E6DA4"/>
                <w:sz w:val="20"/>
                <w:szCs w:val="20"/>
              </w:rPr>
              <w:t xml:space="preserve">(▸) </w:t>
            </w:r>
            <w:r>
              <w:rPr>
                <w:rFonts w:ascii="Arial" w:cs="Arial" w:eastAsia="Arial" w:hAnsi="Arial"/>
                <w:i/>
                <w:iCs/>
                <w:sz w:val="20"/>
                <w:szCs w:val="20"/>
              </w:rPr>
              <w:t xml:space="preserve">Primary agency by spend contracting with Marshbank Construction: City of Lynnwood, with the majority of awarded construction volume.</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Strider Construction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Contracts Won</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11 contracts totaling $7,403,136 in the uploaded data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Agencies Served</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City of Bellingham, City of Mount Vernon, Port of Everett</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Typical Award Range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$150,000 – $2,500,000 per project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Scope Alignment</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Municipal and port facility construction across Whatcom and Skagit counties. Geographic alignment with your service area. City and port facility projects commonly include HVAC installation and replacement scope.</w:t>
            </w:r>
          </w:p>
        </w:tc>
      </w:tr>
      <w:tr>
        <w:tc>
          <w:tcPr>
            <w:tcW w:type="dxa" w:w="9360"/>
            <w:gridSpan w:val="2"/>
            <w:tcBorders>
              <w:top w:val="single" w:color="2E6DA4" w:sz="6"/>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2E6DA4"/>
                <w:sz w:val="20"/>
                <w:szCs w:val="20"/>
              </w:rPr>
              <w:t xml:space="preserve">(▸) </w:t>
            </w:r>
            <w:r>
              <w:rPr>
                <w:rFonts w:ascii="Arial" w:cs="Arial" w:eastAsia="Arial" w:hAnsi="Arial"/>
                <w:i/>
                <w:iCs/>
                <w:sz w:val="20"/>
                <w:szCs w:val="20"/>
              </w:rPr>
              <w:t xml:space="preserve">Primary agency by spend contracting with Strider Construction: City of Bellingham, representing the largest share of awarded project volume.</w:t>
            </w:r>
          </w:p>
        </w:tc>
      </w:tr>
    </w:tbl>
    <w:p>
      <w:pPr>
        <w:spacing w:after="200"/>
      </w:pPr>
    </w:p>
    <w:p>
      <w:pPr>
        <w:spacing w:after="120" w:before="240"/>
      </w:pPr>
      <w:r>
        <w:rPr>
          <w:rFonts w:ascii="Arial" w:cs="Arial" w:eastAsia="Arial" w:hAnsi="Arial"/>
          <w:b/>
          <w:bCs/>
          <w:color w:val="1B3A6B"/>
          <w:sz w:val="24"/>
          <w:szCs w:val="24"/>
        </w:rPr>
        <w:t xml:space="preserve">Market Intelligence — Local Forward Signals</w:t>
      </w:r>
    </w:p>
    <w:p>
      <w:pPr>
        <w:spacing w:after="120"/>
      </w:pPr>
      <w:r>
        <w:rPr>
          <w:rFonts w:ascii="Arial" w:cs="Arial" w:eastAsia="Arial" w:hAnsi="Arial"/>
          <w:sz w:val="22"/>
          <w:szCs w:val="22"/>
        </w:rPr>
        <w:t xml:space="preserve">Government procurement is cyclical. The following sources help you see what is coming before it reaches a purchase order.</w:t>
      </w:r>
    </w:p>
    <w:p>
      <w:pPr>
        <w:pStyle w:val="ListParagraph"/>
        <w:numPr>
          <w:ilvl w:val="0"/>
          <w:numId w:val="2"/>
        </w:numPr>
        <w:spacing w:after="80"/>
      </w:pPr>
      <w:r>
        <w:rPr>
          <w:rFonts w:ascii="Arial" w:cs="Arial" w:eastAsia="Arial" w:hAnsi="Arial"/>
          <w:b/>
          <w:bCs/>
          <w:sz w:val="22"/>
          <w:szCs w:val="22"/>
        </w:rPr>
        <w:t xml:space="preserve">Capital Improvement Plans (CIPs): </w:t>
      </w:r>
      <w:r>
        <w:rPr>
          <w:rFonts w:ascii="Arial" w:cs="Arial" w:eastAsia="Arial" w:hAnsi="Arial"/>
          <w:sz w:val="22"/>
          <w:szCs w:val="22"/>
        </w:rPr>
        <w:t xml:space="preserve">Published by cities, counties, school districts, and utilities. These documents surface construction and facility upgrade projects 1–3 years out. Look for HVAC system replacements, building renovations, and new construction in your target agencies’ CIPs.</w:t>
      </w:r>
    </w:p>
    <w:p>
      <w:pPr>
        <w:pStyle w:val="ListParagraph"/>
        <w:numPr>
          <w:ilvl w:val="0"/>
          <w:numId w:val="2"/>
        </w:numPr>
        <w:spacing w:after="80"/>
      </w:pPr>
      <w:r>
        <w:rPr>
          <w:rFonts w:ascii="Arial" w:cs="Arial" w:eastAsia="Arial" w:hAnsi="Arial"/>
          <w:b/>
          <w:bCs/>
          <w:sz w:val="22"/>
          <w:szCs w:val="22"/>
        </w:rPr>
        <w:t xml:space="preserve">Agency budget documents: </w:t>
      </w:r>
      <w:r>
        <w:rPr>
          <w:rFonts w:ascii="Arial" w:cs="Arial" w:eastAsia="Arial" w:hAnsi="Arial"/>
          <w:sz w:val="22"/>
          <w:szCs w:val="22"/>
        </w:rPr>
        <w:t xml:space="preserve">Annual budgets often identify major maintenance and capital projects. Review the facilities or public works sections of your target agencies’ adopted budgets.</w:t>
      </w:r>
    </w:p>
    <w:p>
      <w:pPr>
        <w:pStyle w:val="ListParagraph"/>
        <w:numPr>
          <w:ilvl w:val="0"/>
          <w:numId w:val="2"/>
        </w:numPr>
        <w:spacing w:after="80"/>
      </w:pPr>
      <w:r>
        <w:rPr>
          <w:rFonts w:ascii="Arial" w:cs="Arial" w:eastAsia="Arial" w:hAnsi="Arial"/>
          <w:b/>
          <w:bCs/>
          <w:sz w:val="22"/>
          <w:szCs w:val="22"/>
        </w:rPr>
        <w:t xml:space="preserve">City council and school board meeting agendas: </w:t>
      </w:r>
      <w:r>
        <w:rPr>
          <w:rFonts w:ascii="Arial" w:cs="Arial" w:eastAsia="Arial" w:hAnsi="Arial"/>
          <w:sz w:val="22"/>
          <w:szCs w:val="22"/>
        </w:rPr>
        <w:t xml:space="preserve">Project approvals, contract awards, and budget amendments appear on public meeting agendas. These are real-time signals of upcoming work.</w:t>
      </w:r>
    </w:p>
    <w:p>
      <w:pPr>
        <w:pStyle w:val="ListParagraph"/>
        <w:numPr>
          <w:ilvl w:val="0"/>
          <w:numId w:val="2"/>
        </w:numPr>
        <w:spacing w:after="80"/>
      </w:pPr>
      <w:r>
        <w:rPr>
          <w:rFonts w:ascii="Arial" w:cs="Arial" w:eastAsia="Arial" w:hAnsi="Arial"/>
          <w:b/>
          <w:bCs/>
          <w:sz w:val="22"/>
          <w:szCs w:val="22"/>
        </w:rPr>
        <w:t xml:space="preserve">Agency procurement portal postings: </w:t>
      </w:r>
      <w:r>
        <w:rPr>
          <w:rFonts w:ascii="Arial" w:cs="Arial" w:eastAsia="Arial" w:hAnsi="Arial"/>
          <w:sz w:val="22"/>
          <w:szCs w:val="22"/>
        </w:rPr>
        <w:t xml:space="preserve">Many local agencies post informal quotes and small-works roster opportunities on their own procurement pages, separate from WEBS.</w:t>
      </w:r>
    </w:p>
    <w:p>
      <w:pPr>
        <w:pStyle w:val="ListParagraph"/>
        <w:numPr>
          <w:ilvl w:val="0"/>
          <w:numId w:val="2"/>
        </w:numPr>
        <w:spacing w:after="80"/>
      </w:pPr>
      <w:r>
        <w:rPr>
          <w:rFonts w:ascii="Arial" w:cs="Arial" w:eastAsia="Arial" w:hAnsi="Arial"/>
          <w:b/>
          <w:bCs/>
          <w:sz w:val="22"/>
          <w:szCs w:val="22"/>
        </w:rPr>
        <w:t xml:space="preserve">Local government press releases: </w:t>
      </w:r>
      <w:r>
        <w:rPr>
          <w:rFonts w:ascii="Arial" w:cs="Arial" w:eastAsia="Arial" w:hAnsi="Arial"/>
          <w:sz w:val="22"/>
          <w:szCs w:val="22"/>
        </w:rPr>
        <w:t xml:space="preserve">Facility improvement announcements, bond measure results, and capital project updates signal upcoming procurement activity.</w:t>
      </w:r>
    </w:p>
    <w:p>
      <w:pPr>
        <w:spacing w:after="200"/>
      </w:pPr>
    </w:p>
    <w:p>
      <w:r>
        <w:br w:type="page"/>
      </w:r>
    </w:p>
    <w:p>
      <w:pPr>
        <w:spacing w:after="180" w:before="280"/>
      </w:pPr>
      <w:r>
        <w:rPr>
          <w:rFonts w:ascii="Arial" w:cs="Arial" w:eastAsia="Arial" w:hAnsi="Arial"/>
          <w:b/>
          <w:bCs/>
          <w:color w:val="2E6DA4"/>
          <w:sz w:val="28"/>
          <w:szCs w:val="28"/>
        </w:rPr>
        <w:t xml:space="preserve">State Market</w:t>
      </w:r>
    </w:p>
    <w:p>
      <w:pPr>
        <w:spacing w:after="120"/>
      </w:pPr>
      <w:r>
        <w:rPr>
          <w:rFonts w:ascii="Arial" w:cs="Arial" w:eastAsia="Arial" w:hAnsi="Arial"/>
          <w:sz w:val="22"/>
          <w:szCs w:val="22"/>
        </w:rPr>
        <w:t xml:space="preserve">State agency purchases below the DES Direct Buy threshold do not require a competitive process — the buyer can contact you directly and issue a purchase order. These thresholds are set by DES policy and vary by business size classification. The current Direct Buy Level 1 threshold is $40,000 for general purchases from any business type. Confirm the current applicable threshold at des.wa.gov. This is where new vendors find the highest volume and lowest competition.</w:t>
      </w:r>
    </w:p>
    <w:p>
      <w:pPr>
        <w:spacing w:after="200"/>
      </w:pPr>
    </w:p>
    <w:p>
      <w:pPr>
        <w:spacing w:after="120" w:before="240"/>
      </w:pPr>
      <w:r>
        <w:rPr>
          <w:rFonts w:ascii="Arial" w:cs="Arial" w:eastAsia="Arial" w:hAnsi="Arial"/>
          <w:b/>
          <w:bCs/>
          <w:color w:val="1B3A6B"/>
          <w:sz w:val="24"/>
          <w:szCs w:val="24"/>
        </w:rPr>
        <w:t xml:space="preserve">Primary Agency-Type Summary</w:t>
      </w:r>
    </w:p>
    <w:p>
      <w:pPr>
        <w:spacing w:after="120"/>
      </w:pPr>
      <w:r>
        <w:rPr>
          <w:rFonts w:ascii="Arial" w:cs="Arial" w:eastAsia="Arial" w:hAnsi="Arial"/>
          <w:sz w:val="22"/>
          <w:szCs w:val="22"/>
        </w:rPr>
        <w:t xml:space="preserve">The state spend data shows the strongest relevant-category buying signals from two entity types. Higher education institutions — including state universities and community and technical colleges — appear with consistent multi-year spend in facilities maintenance, building equipment, and trades contracting (Codes 5, 16, 28, EE, and EK). These institutions operate large campus facility portfolios with aging HVAC systems requiring ongoing maintenance, repair, and periodic replacement. State transportation and infrastructure agencies also appear with significant facilities maintenance spend, driven by the maintenance needs of statewide office buildings, maintenance shops, and operational facilities.</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Western Washington University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98 contracts totaling $9,427,819 in relevant category codes (Codes 5, 16, 28, EE, EK) across FY2023–FY2025 (data.wa.gov)</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Contracts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Code 28 — The Trades: Electrical, Engineering, HVAC, Plumbing, and Welding</w:t>
            </w:r>
          </w:p>
          <w:p>
            <w:pPr>
              <w:spacing w:after="40"/>
            </w:pPr>
            <w:r>
              <w:rPr>
                <w:rFonts w:ascii="Arial" w:cs="Arial" w:eastAsia="Arial" w:hAnsi="Arial"/>
                <w:sz w:val="20"/>
                <w:szCs w:val="20"/>
              </w:rPr>
              <w:t xml:space="preserve">Code EE — Repairs, Alterations, and Maintenance</w:t>
            </w:r>
          </w:p>
          <w:p>
            <w:pPr>
              <w:spacing w:after="40"/>
            </w:pPr>
            <w:r>
              <w:rPr>
                <w:rFonts w:ascii="Arial" w:cs="Arial" w:eastAsia="Arial" w:hAnsi="Arial"/>
                <w:sz w:val="20"/>
                <w:szCs w:val="20"/>
              </w:rPr>
              <w:t xml:space="preserve">Code 5 — Building Equipment, Supplies, and Services</w:t>
            </w:r>
          </w:p>
          <w:p>
            <w:pPr>
              <w:spacing w:after="40"/>
            </w:pPr>
            <w:r>
              <w:rPr>
                <w:rFonts w:ascii="Arial" w:cs="Arial" w:eastAsia="Arial" w:hAnsi="Arial"/>
                <w:sz w:val="20"/>
                <w:szCs w:val="20"/>
              </w:rPr>
              <w:t xml:space="preserve">Code 16 — Maintenance and Repair of Equipment</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Consistent multi-year spend across all three fiscal years in the relevant trade and facility categories. Located in Bellingham (Whatcom County), directly within your primary service area. The university maintains a large campus with multiple buildings requiring ongoing HVAC service.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Data.wa.gov reports spend at the category code level, not at the individual service level. The figures above include all trade and facilities contracting, not exclusively HVAC. Vendor-level transaction detail is not available from this source.</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DES Statewide Contract Note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The DES statewide contract for HVAC Services is active, with vendors including McKinstry, Energy Systems Management/TRS, and Apollo Sheet Metal. Determine whether WWU routes HVAC procurement through a DES master contract or procures independently.</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 Sourced from data.wa.gov master data. Direct vendor-level transaction tracking is unavailable for this agency entry; target via general master contract schedules.</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Whatcom Community College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71 vetted HVAC-relevant transactions totaling $977,600 (GovSpend, 2021–2025). State-level entity classified from GovSpend mixed-source export.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POs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HVAC Systems Maintenance and Repair, Power Plant ($14,541)</w:t>
            </w:r>
          </w:p>
          <w:p>
            <w:pPr>
              <w:spacing w:after="40"/>
            </w:pPr>
            <w:r>
              <w:rPr>
                <w:rFonts w:ascii="Arial" w:cs="Arial" w:eastAsia="Arial" w:hAnsi="Arial"/>
                <w:sz w:val="20"/>
                <w:szCs w:val="20"/>
              </w:rPr>
              <w:t xml:space="preserve">HVAC Heat Pump ($48,981)</w:t>
            </w:r>
          </w:p>
          <w:p>
            <w:pPr>
              <w:spacing w:after="40"/>
            </w:pPr>
            <w:r>
              <w:rPr>
                <w:rFonts w:ascii="Arial" w:cs="Arial" w:eastAsia="Arial" w:hAnsi="Arial"/>
                <w:sz w:val="20"/>
                <w:szCs w:val="20"/>
              </w:rPr>
              <w:t xml:space="preserve">HVAC Heat Pump ($26,966)</w:t>
            </w:r>
          </w:p>
          <w:p>
            <w:pPr>
              <w:spacing w:after="40"/>
            </w:pPr>
            <w:r>
              <w:rPr>
                <w:rFonts w:ascii="Arial" w:cs="Arial" w:eastAsia="Arial" w:hAnsi="Arial"/>
                <w:sz w:val="20"/>
                <w:szCs w:val="20"/>
              </w:rPr>
              <w:t xml:space="preserve">HVAC chemical supplies and testing ($7,700)</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High-frequency HVAC procurement with 71 relevant transactions over the data period. Located in Bellingham (Whatcom County), directly within your service area. The college operates a campus power plant and multiple instructional buildings with active HVAC maintenance needs. Transaction descriptions indicate both routine maintenance and equipment replacement purchasing.</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Sourced from GovSpend (proprietary data compiled from public records requests). GovSpend state-level coverage is opportunistic, not complete.</w:t>
            </w:r>
          </w:p>
        </w:tc>
      </w:tr>
      <w:tr>
        <w:tc>
          <w:tcPr>
            <w:tcW w:type="dxa" w:w="9360"/>
            <w:gridSpan w:val="2"/>
            <w:tcBorders>
              <w:top w:val="single" w:color="FFF8E1"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FFF8E1"/>
                <w:sz w:val="20"/>
                <w:szCs w:val="20"/>
              </w:rPr>
              <w:t xml:space="preserve">(C07000) </w:t>
            </w:r>
            <w:r>
              <w:rPr>
                <w:rFonts w:ascii="Arial" w:cs="Arial" w:eastAsia="Arial" w:hAnsi="Arial"/>
                <w:i/>
                <w:iCs/>
                <w:sz w:val="20"/>
                <w:szCs w:val="20"/>
              </w:rPr>
              <w:t xml:space="preserve">(†) Sourced from GovSpend. Primary incumbent vendor by spend in HVAC scope: Andgar, providing ongoing HVAC systems maintenance and repair for the campus power plant. Air Tec holds significant spend in heat pump installations.</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Everett Community College  </w:t>
            </w:r>
            <w:r>
              <w:rPr>
                <w:rFonts w:ascii="Arial" w:cs="Arial" w:eastAsia="Arial" w:hAnsi="Arial"/>
                <w:b/>
                <w:bCs/>
                <w:color w:val="FF9800"/>
                <w:sz w:val="22"/>
                <w:szCs w:val="22"/>
              </w:rPr>
              <w:t xml:space="preserve">NOTED</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9 vetted HVAC-relevant transactions totaling $127,053 (GovSpend, 2021–2025). State-level entity classified from GovSpend mixed-source export.</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POs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HVAC Maintenance ($23,400)</w:t>
            </w:r>
          </w:p>
          <w:p>
            <w:pPr>
              <w:spacing w:after="40"/>
            </w:pPr>
            <w:r>
              <w:rPr>
                <w:rFonts w:ascii="Arial" w:cs="Arial" w:eastAsia="Arial" w:hAnsi="Arial"/>
                <w:sz w:val="20"/>
                <w:szCs w:val="20"/>
              </w:rPr>
              <w:t xml:space="preserve">HVAC Chemical Supplies and Testing ($7,700 and $8,000)</w:t>
            </w:r>
          </w:p>
          <w:p>
            <w:pPr>
              <w:spacing w:after="40"/>
            </w:pPr>
            <w:r>
              <w:rPr>
                <w:rFonts w:ascii="Arial" w:cs="Arial" w:eastAsia="Arial" w:hAnsi="Arial"/>
                <w:sz w:val="20"/>
                <w:szCs w:val="20"/>
              </w:rPr>
              <w:t xml:space="preserve">General mechanical and facility maintenance transactions</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Active HVAC purchasing at a lower volume than Whatcom Community College, but located in Everett (Snohomish County), within your service area. The college has both maintenance and equipment procurement needs.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Limited transaction count. Sourced from GovSpend only; data.wa.gov does not provide vendor-level detail for this entity. Additional years of data would help confirm whether this is recurring or project-driven spend.</w:t>
            </w:r>
          </w:p>
        </w:tc>
      </w:tr>
      <w:tr>
        <w:tc>
          <w:tcPr>
            <w:tcW w:type="dxa" w:w="9360"/>
            <w:gridSpan w:val="2"/>
            <w:tcBorders>
              <w:top w:val="single" w:color="FFF8E1"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FFF8E1"/>
                <w:sz w:val="20"/>
                <w:szCs w:val="20"/>
              </w:rPr>
              <w:t xml:space="preserve">(C07000) </w:t>
            </w:r>
            <w:r>
              <w:rPr>
                <w:rFonts w:ascii="Arial" w:cs="Arial" w:eastAsia="Arial" w:hAnsi="Arial"/>
                <w:i/>
                <w:iCs/>
                <w:sz w:val="20"/>
                <w:szCs w:val="20"/>
              </w:rPr>
              <w:t xml:space="preserve">(†) Sourced from GovSpend. Primary vendor by spend in HVAC scope: Daikin Applied Americas ($23,400 in HVAC maintenance). Commercial Chemtech provides recurring HVAC chemical supplies and testing.</w:t>
            </w:r>
          </w:p>
        </w:tc>
      </w:tr>
    </w:tbl>
    <w:p>
      <w:pPr>
        <w:spacing w:after="200"/>
      </w:pPr>
    </w:p>
    <w:p>
      <w:pPr>
        <w:spacing w:after="120" w:before="240"/>
      </w:pPr>
      <w:r>
        <w:rPr>
          <w:rFonts w:ascii="Arial" w:cs="Arial" w:eastAsia="Arial" w:hAnsi="Arial"/>
          <w:b/>
          <w:bCs/>
          <w:color w:val="1B3A6B"/>
          <w:sz w:val="24"/>
          <w:szCs w:val="24"/>
        </w:rPr>
        <w:t xml:space="preserve">Market Intelligence — State Forward Signals</w:t>
      </w:r>
    </w:p>
    <w:p>
      <w:pPr>
        <w:pStyle w:val="ListParagraph"/>
        <w:numPr>
          <w:ilvl w:val="0"/>
          <w:numId w:val="3"/>
        </w:numPr>
        <w:spacing w:after="80"/>
      </w:pPr>
      <w:r>
        <w:rPr>
          <w:rFonts w:ascii="Arial" w:cs="Arial" w:eastAsia="Arial" w:hAnsi="Arial"/>
          <w:b/>
          <w:bCs/>
          <w:sz w:val="22"/>
          <w:szCs w:val="22"/>
        </w:rPr>
        <w:t xml:space="preserve">Capital Improvement Plans: </w:t>
      </w:r>
      <w:r>
        <w:rPr>
          <w:rFonts w:ascii="Arial" w:cs="Arial" w:eastAsia="Arial" w:hAnsi="Arial"/>
          <w:sz w:val="22"/>
          <w:szCs w:val="22"/>
        </w:rPr>
        <w:t xml:space="preserve">State universities and community colleges publish campus master plans and capital project requests through the state capital budget process. Review for HVAC system upgrades and building renovations.</w:t>
      </w:r>
    </w:p>
    <w:p>
      <w:pPr>
        <w:pStyle w:val="ListParagraph"/>
        <w:numPr>
          <w:ilvl w:val="0"/>
          <w:numId w:val="3"/>
        </w:numPr>
        <w:spacing w:after="80"/>
      </w:pPr>
      <w:r>
        <w:rPr>
          <w:rFonts w:ascii="Arial" w:cs="Arial" w:eastAsia="Arial" w:hAnsi="Arial"/>
          <w:b/>
          <w:bCs/>
          <w:sz w:val="22"/>
          <w:szCs w:val="22"/>
        </w:rPr>
        <w:t xml:space="preserve">Agency budget documents: </w:t>
      </w:r>
      <w:r>
        <w:rPr>
          <w:rFonts w:ascii="Arial" w:cs="Arial" w:eastAsia="Arial" w:hAnsi="Arial"/>
          <w:sz w:val="22"/>
          <w:szCs w:val="22"/>
        </w:rPr>
        <w:t xml:space="preserve">The state biennial budget allocates funds for major maintenance and facility improvements. Track the facilities sections for your target agencies.</w:t>
      </w:r>
    </w:p>
    <w:p>
      <w:pPr>
        <w:pStyle w:val="ListParagraph"/>
        <w:numPr>
          <w:ilvl w:val="0"/>
          <w:numId w:val="3"/>
        </w:numPr>
        <w:spacing w:after="80"/>
      </w:pPr>
      <w:r>
        <w:rPr>
          <w:rFonts w:ascii="Arial" w:cs="Arial" w:eastAsia="Arial" w:hAnsi="Arial"/>
          <w:b/>
          <w:bCs/>
          <w:sz w:val="22"/>
          <w:szCs w:val="22"/>
        </w:rPr>
        <w:t xml:space="preserve">State agency procurement forecasts: </w:t>
      </w:r>
      <w:r>
        <w:rPr>
          <w:rFonts w:ascii="Arial" w:cs="Arial" w:eastAsia="Arial" w:hAnsi="Arial"/>
          <w:sz w:val="22"/>
          <w:szCs w:val="22"/>
        </w:rPr>
        <w:t xml:space="preserve">Some agencies publish annual procurement forecasts. Check DES and your target agency procurement pages.</w:t>
      </w:r>
    </w:p>
    <w:p>
      <w:pPr>
        <w:pStyle w:val="ListParagraph"/>
        <w:numPr>
          <w:ilvl w:val="0"/>
          <w:numId w:val="3"/>
        </w:numPr>
        <w:spacing w:after="80"/>
      </w:pPr>
      <w:r>
        <w:rPr>
          <w:rFonts w:ascii="Arial" w:cs="Arial" w:eastAsia="Arial" w:hAnsi="Arial"/>
          <w:b/>
          <w:bCs/>
          <w:sz w:val="22"/>
          <w:szCs w:val="22"/>
        </w:rPr>
        <w:t xml:space="preserve">Legislative budget updates: </w:t>
      </w:r>
      <w:r>
        <w:rPr>
          <w:rFonts w:ascii="Arial" w:cs="Arial" w:eastAsia="Arial" w:hAnsi="Arial"/>
          <w:sz w:val="22"/>
          <w:szCs w:val="22"/>
        </w:rPr>
        <w:t xml:space="preserve">Capital budget proposals in the state legislature signal upcoming facility investments 1–2 years out.</w:t>
      </w:r>
    </w:p>
    <w:p>
      <w:pPr>
        <w:spacing w:after="200"/>
      </w:pPr>
    </w:p>
    <w:p>
      <w:r>
        <w:br w:type="page"/>
      </w:r>
    </w:p>
    <w:p>
      <w:pPr>
        <w:spacing w:after="180" w:before="280"/>
      </w:pPr>
      <w:r>
        <w:rPr>
          <w:rFonts w:ascii="Arial" w:cs="Arial" w:eastAsia="Arial" w:hAnsi="Arial"/>
          <w:b/>
          <w:bCs/>
          <w:color w:val="2E6DA4"/>
          <w:sz w:val="28"/>
          <w:szCs w:val="28"/>
        </w:rPr>
        <w:t xml:space="preserve">Federal Market</w:t>
      </w:r>
    </w:p>
    <w:p>
      <w:pPr>
        <w:spacing w:after="120"/>
      </w:pPr>
      <w:r>
        <w:rPr>
          <w:rFonts w:ascii="Arial" w:cs="Arial" w:eastAsia="Arial" w:hAnsi="Arial"/>
          <w:sz w:val="22"/>
          <w:szCs w:val="22"/>
        </w:rPr>
        <w:t xml:space="preserve">The federal micro-purchase threshold for construction subject to Davis-Bacon wage requirements is $2,000 (per FAR 2.101; verify current at acquisition.gov). Because your HVAC services trigger public works compliance, the applicable threshold for most of your federal work is $2,000, not the general $15,000. Below that threshold, a contracting officer can purchase directly without a competitive process. For non-construction HVAC service calls not subject to prevailing wage, the general $15,000 threshold may apply. Your APEX advisor can help you determine which threshold applies to a specific opportunity.</w:t>
      </w:r>
    </w:p>
    <w:p>
      <w:pPr>
        <w:spacing w:after="200"/>
      </w:pPr>
    </w:p>
    <w:p>
      <w:pPr>
        <w:spacing w:after="120"/>
      </w:pPr>
      <w:r>
        <w:rPr>
          <w:rFonts w:ascii="Arial" w:cs="Arial" w:eastAsia="Arial" w:hAnsi="Arial"/>
          <w:i w:val="false"/>
          <w:iCs w:val="false"/>
          <w:sz w:val="22"/>
          <w:szCs w:val="22"/>
        </w:rPr>
        <w:t xml:space="preserve">As an established company that is new to government contracting, without a qualifying set-aside certification or high-demand commodity product, the federal market is realistically a longer-term horizon. The standards are higher, the compliance requirements are more demanding, and buyers strongly prefer vendors with demonstrated federal past performance. The targets below are presented as relationship-building and registration priorities — agencies where your service category is in active demand and where completing your SAM.gov registration and making introductions now positions you for opportunities as your government track record develops through local and state work.</w:t>
      </w:r>
    </w:p>
    <w:p>
      <w:pPr>
        <w:spacing w:after="200"/>
      </w:pPr>
    </w:p>
    <w:p>
      <w:pPr>
        <w:spacing w:after="120" w:before="240"/>
      </w:pPr>
      <w:r>
        <w:rPr>
          <w:rFonts w:ascii="Arial" w:cs="Arial" w:eastAsia="Arial" w:hAnsi="Arial"/>
          <w:b/>
          <w:bCs/>
          <w:color w:val="1B3A6B"/>
          <w:sz w:val="24"/>
          <w:szCs w:val="24"/>
        </w:rPr>
        <w:t xml:space="preserve">Primary Agency-Type Summary</w:t>
      </w:r>
    </w:p>
    <w:p>
      <w:pPr>
        <w:spacing w:after="120"/>
      </w:pPr>
      <w:r>
        <w:rPr>
          <w:rFonts w:ascii="Arial" w:cs="Arial" w:eastAsia="Arial" w:hAnsi="Arial"/>
          <w:sz w:val="22"/>
          <w:szCs w:val="22"/>
        </w:rPr>
        <w:t xml:space="preserve">The federal spend data shows the strongest HVAC buying signals from two entity types in Washington State. Defense agencies — particularly the Department of the Navy through NAVFAC Northwest — dominate HVAC spend in the Snohomish, Skagit, and Whatcom county area, driven by facility maintenance and energy upgrade requirements at Naval Station Everett and supporting installations. Civilian agencies including FEMA and GSA Public Buildings Service also procure HVAC services for federal office buildings and emergency management facilities in the region.</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Department of the Navy — NAVFAC Northwest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108 awards totaling $9,194,975 obligated in HVAC-related NAICS codes (238220, 811310, 238290), with place of performance in Washington State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Contracts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Basewide Energy Upgrades — Statement of Work ($2,398,594)</w:t>
            </w:r>
          </w:p>
          <w:p>
            <w:pPr>
              <w:spacing w:after="40"/>
            </w:pPr>
            <w:r>
              <w:rPr>
                <w:rFonts w:ascii="Arial" w:cs="Arial" w:eastAsia="Arial" w:hAnsi="Arial"/>
                <w:sz w:val="20"/>
                <w:szCs w:val="20"/>
              </w:rPr>
              <w:t xml:space="preserve">NS Everett AOR Mechanical IDIQ — Direct Digital Controls ($1,075,768)</w:t>
            </w:r>
          </w:p>
          <w:p>
            <w:pPr>
              <w:spacing w:after="40"/>
            </w:pPr>
            <w:r>
              <w:rPr>
                <w:rFonts w:ascii="Arial" w:cs="Arial" w:eastAsia="Arial" w:hAnsi="Arial"/>
                <w:sz w:val="20"/>
                <w:szCs w:val="20"/>
              </w:rPr>
              <w:t xml:space="preserve">Generator Load Test Controls Modifications, Naval Radio Station Jim Creek ($250,000)</w:t>
            </w:r>
          </w:p>
          <w:p>
            <w:pPr>
              <w:spacing w:after="40"/>
            </w:pPr>
            <w:r>
              <w:rPr>
                <w:rFonts w:ascii="Arial" w:cs="Arial" w:eastAsia="Arial" w:hAnsi="Arial"/>
                <w:sz w:val="20"/>
                <w:szCs w:val="20"/>
              </w:rPr>
              <w:t xml:space="preserve">Equipment Repair Services ($219,577)</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The Navy is the dominant federal HVAC buyer in your service area, with award volume concentrated in Snohomish County (296 of 397 total HVAC-code awards statewide). NAVFAC Northwest manages facility maintenance and construction at Naval Station Everett and supporting installations. The data shows both IDIQ maintenance contracts and project-based mechanical work. 263 awards across all federal agencies fall below $15,000, indicating significant micro-purchase activity.</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Total obligated amounts include multi-year contracts with performance periods extending beyond the data window. Some awards under NAICS 811310 may include non-HVAC equipment repair work.</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Primary incumbent vendor by spend in HVAC scope: Doyon Management Services, LLC ($3,966,095 across mechanical and energy upgrade contracts). Flowsense, LLC holds $351,463 in HVAC-specific work.</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7000" w:sz="12"/>
              <w:left w:val="single" w:color="C07000" w:sz="12"/>
              <w:bottom w:val="single" w:color="C07000" w:sz="12"/>
              <w:right w:val="single" w:color="C07000" w:sz="12"/>
            </w:tcBorders>
            <w:shd w:fill="FFF8E1" w:val="clear"/>
            <w:tcMar>
              <w:top w:type="dxa" w:w="160"/>
              <w:left w:type="dxa" w:w="200"/>
              <w:bottom w:type="dxa" w:w="160"/>
              <w:right w:type="dxa" w:w="200"/>
            </w:tcMar>
          </w:tcPr>
          <w:p>
            <w:pPr>
              <w:spacing w:after="80"/>
            </w:pPr>
            <w:r>
              <w:rPr>
                <w:rFonts w:ascii="Arial" w:cs="Arial" w:eastAsia="Arial" w:hAnsi="Arial"/>
                <w:b/>
                <w:bCs/>
                <w:color w:val="C07000"/>
                <w:sz w:val="24"/>
                <w:szCs w:val="24"/>
              </w:rPr>
              <w:t xml:space="preserve">CMMC Compliance — Department of Defense</w:t>
            </w:r>
          </w:p>
          <w:p>
            <w:pPr>
              <w:spacing w:after="120"/>
            </w:pPr>
            <w:r>
              <w:rPr>
                <w:rFonts w:ascii="Arial" w:cs="Arial" w:eastAsia="Arial" w:hAnsi="Arial"/>
                <w:sz w:val="22"/>
                <w:szCs w:val="22"/>
              </w:rPr>
              <w:t xml:space="preserve">The Department of the Navy is a DoD component. Work performed for DoD agencies requires Cybersecurity Maturity Model Certification (CMMC) compliance. CMMC is a cost and time commitment that may make a DoD target impractical at this stage of your government contracting experience, and that is useful information to have now rather than after investing effort in pursuit. Before pursuing Navy opportunities, discuss CMMC requirements with your APEX advisor and review the current applicable level, threshold, and timeline requirements at the official DoD source: dodcio.defense.gov/CMMC.</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Federal Emergency Management Agency (FEMA)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81 awards totaling $1,649,243 obligated in HVAC-related NAICS codes, with place of performance in Washington State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Contracts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Replace Three Air Handling Units at FEMA FRC ($560,028)</w:t>
            </w:r>
          </w:p>
          <w:p>
            <w:pPr>
              <w:spacing w:after="40"/>
            </w:pPr>
            <w:r>
              <w:rPr>
                <w:rFonts w:ascii="Arial" w:cs="Arial" w:eastAsia="Arial" w:hAnsi="Arial"/>
                <w:sz w:val="20"/>
                <w:szCs w:val="20"/>
              </w:rPr>
              <w:t xml:space="preserve">HVAC Fan Upgrades ($208,178)</w:t>
            </w:r>
          </w:p>
          <w:p>
            <w:pPr>
              <w:spacing w:after="40"/>
            </w:pPr>
            <w:r>
              <w:rPr>
                <w:rFonts w:ascii="Arial" w:cs="Arial" w:eastAsia="Arial" w:hAnsi="Arial"/>
                <w:sz w:val="20"/>
                <w:szCs w:val="20"/>
              </w:rPr>
              <w:t xml:space="preserve">Cooling Tower Replacement ($152,825)</w:t>
            </w:r>
          </w:p>
          <w:p>
            <w:pPr>
              <w:spacing w:after="40"/>
            </w:pPr>
            <w:r>
              <w:rPr>
                <w:rFonts w:ascii="Arial" w:cs="Arial" w:eastAsia="Arial" w:hAnsi="Arial"/>
                <w:sz w:val="20"/>
                <w:szCs w:val="20"/>
              </w:rPr>
              <w:t xml:space="preserve">Split Unit Installation ($72,594)</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Active HVAC procurement for the FEMA Federal Regional Center and supporting facilities. Contract descriptions show direct HVAC scope: air handling unit replacement, fan upgrades, cooling tower work, and split system installations. These are the types of contracts most closely aligned with your core service capabilities.</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FEMA facility count in your immediate service area is limited. Some awards may be for facilities outside Snohomish/Skagit/Whatcom counties.</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Primary incumbent vendor by spend in HVAC scope: Doyon Project Services, LLC ($560,028). Sno Valley Process Solutions holds $300,839 across multiple HVAC service awards. General Mechanical Inc holds the cooling tower replacement ($152,825).</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GSA Public Buildings Service — Region 10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Spend Summary</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25 awards totaling $509,887 obligated in HVAC-related NAICS codes, with place of performance in Washington State</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Sample Contracts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pPr>
              <w:spacing w:after="40"/>
            </w:pPr>
            <w:r>
              <w:rPr>
                <w:rFonts w:ascii="Arial" w:cs="Arial" w:eastAsia="Arial" w:hAnsi="Arial"/>
                <w:sz w:val="20"/>
                <w:szCs w:val="20"/>
              </w:rPr>
              <w:t xml:space="preserve">Building HVAC and mechanical maintenance task orders</w:t>
            </w:r>
          </w:p>
          <w:p>
            <w:pPr>
              <w:spacing w:after="40"/>
            </w:pPr>
            <w:r>
              <w:rPr>
                <w:rFonts w:ascii="Arial" w:cs="Arial" w:eastAsia="Arial" w:hAnsi="Arial"/>
                <w:sz w:val="20"/>
                <w:szCs w:val="20"/>
              </w:rPr>
              <w:t xml:space="preserve">Federal building renovation and improvement projects</w:t>
            </w:r>
          </w:p>
          <w:p>
            <w:pPr>
              <w:spacing w:after="40"/>
            </w:pPr>
            <w:r>
              <w:rPr>
                <w:rFonts w:ascii="Arial" w:cs="Arial" w:eastAsia="Arial" w:hAnsi="Arial"/>
                <w:sz w:val="20"/>
                <w:szCs w:val="20"/>
              </w:rPr>
              <w:t xml:space="preserve">Facility equipment repair and replacement</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What the Data Shows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GSA PBS Region 10 manages federal office buildings across Washington State, including facilities in Bellingham, Everett, Lynnwood, and Bothell. The agency uses JOCC (Job Order Contracting for Construction) task orders for building maintenance and small construction projects, which frequently include HVAC scope. Award volume is moderate but geographically aligned with your service area.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Data Limitations</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GSA often bundles HVAC work into larger building maintenance or renovation contracts awarded under construction NAICS codes (236220), which may not appear in the HVAC-specific NAICS filter.</w:t>
            </w:r>
          </w:p>
        </w:tc>
      </w:tr>
      <w:tr>
        <w:tc>
          <w:tcPr>
            <w:tcW w:type="dxa" w:w="9360"/>
            <w:gridSpan w:val="2"/>
            <w:tcBorders>
              <w:top w:val="single" w:color="C07000" w:sz="6"/>
              <w:left w:val="single" w:color="CCCCCC" w:sz="1"/>
              <w:bottom w:val="single" w:color="CCCCCC" w:sz="1"/>
              <w:right w:val="single" w:color="CCCCCC" w:sz="1"/>
            </w:tcBorders>
            <w:shd w:fill="FFF8E1" w:val="clear"/>
            <w:tcMar>
              <w:top w:type="dxa" w:w="80"/>
              <w:left w:type="dxa" w:w="120"/>
              <w:bottom w:type="dxa" w:w="80"/>
              <w:right w:type="dxa" w:w="120"/>
            </w:tcMar>
          </w:tcPr>
          <w:p>
            <w:r>
              <w:rPr>
                <w:rFonts w:ascii="Arial" w:cs="Arial" w:eastAsia="Arial" w:hAnsi="Arial"/>
                <w:b/>
                <w:bCs/>
                <w:color w:val="C07000"/>
                <w:sz w:val="20"/>
                <w:szCs w:val="20"/>
              </w:rPr>
              <w:t xml:space="preserve">(†) </w:t>
            </w:r>
            <w:r>
              <w:rPr>
                <w:rFonts w:ascii="Arial" w:cs="Arial" w:eastAsia="Arial" w:hAnsi="Arial"/>
                <w:i/>
                <w:iCs/>
                <w:sz w:val="20"/>
                <w:szCs w:val="20"/>
              </w:rPr>
              <w:t xml:space="preserve">Primary incumbent vendor by spend: multiple small contractors hold GSA JOCC task orders in Region 10. Burton Construction, Inc. holds the most task orders in the Bellingham/Lynnwood/Bothell area.</w:t>
            </w:r>
          </w:p>
        </w:tc>
      </w:tr>
    </w:tbl>
    <w:p>
      <w:pPr>
        <w:spacing w:after="200"/>
      </w:pPr>
    </w:p>
    <w:p>
      <w:pPr>
        <w:spacing w:after="120" w:before="240"/>
      </w:pPr>
      <w:r>
        <w:rPr>
          <w:rFonts w:ascii="Arial" w:cs="Arial" w:eastAsia="Arial" w:hAnsi="Arial"/>
          <w:b/>
          <w:bCs/>
          <w:color w:val="1B3A6B"/>
          <w:sz w:val="24"/>
          <w:szCs w:val="24"/>
        </w:rPr>
        <w:t xml:space="preserve">Prime Contractors — Federal Subcontracting Opportunities</w:t>
      </w:r>
    </w:p>
    <w:p>
      <w:pPr>
        <w:spacing w:after="120"/>
      </w:pPr>
      <w:r>
        <w:rPr>
          <w:rFonts w:ascii="Arial" w:cs="Arial" w:eastAsia="Arial" w:hAnsi="Arial"/>
          <w:sz w:val="22"/>
          <w:szCs w:val="22"/>
        </w:rPr>
        <w:t xml:space="preserve">These are prime contractors who win federal construction and facility support contracts with performance in your service area, where HVAC is a likely subcontracted scope.</w:t>
      </w:r>
    </w:p>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I.E.-Pacific, Inc.  </w:t>
            </w:r>
            <w:r>
              <w:rPr>
                <w:rFonts w:ascii="Arial" w:cs="Arial" w:eastAsia="Arial" w:hAnsi="Arial"/>
                <w:b/>
                <w:bCs/>
                <w:color w:val="FFD600"/>
                <w:sz w:val="22"/>
                <w:szCs w:val="22"/>
              </w:rPr>
              <w:t xml:space="preserve">HIGH</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Contracts Won</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17 sub-awards tracked under Navy construction contracts (NAICS 236220) in the uploaded data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Agencies Served</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Department of the Navy (NAVFAC Northwest)</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Typical Award Range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Prime contract value: $7,021,000</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Scope Alignment</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Navy facility construction and renovation in Lynnwood and Arlington, including building remodels and installation projects. Construction projects of this type and scale routinely include HVAC subcontract scope. The uploaded data confirms sub-awards to HVAC and mechanical contractors on these primes.</w:t>
            </w:r>
          </w:p>
        </w:tc>
      </w:tr>
      <w:tr>
        <w:tc>
          <w:tcPr>
            <w:tcW w:type="dxa" w:w="9360"/>
            <w:gridSpan w:val="2"/>
            <w:tcBorders>
              <w:top w:val="single" w:color="2E6DA4" w:sz="6"/>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2E6DA4"/>
                <w:sz w:val="20"/>
                <w:szCs w:val="20"/>
              </w:rPr>
              <w:t xml:space="preserve">(▸) </w:t>
            </w:r>
            <w:r>
              <w:rPr>
                <w:rFonts w:ascii="Arial" w:cs="Arial" w:eastAsia="Arial" w:hAnsi="Arial"/>
                <w:i/>
                <w:iCs/>
                <w:sz w:val="20"/>
                <w:szCs w:val="20"/>
              </w:rPr>
              <w:t xml:space="preserve">Primary agency by spend contracting with I.E.-Pacific: Department of the Navy, with work performed at installations in Snohomish County.</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07000" w:sz="12"/>
              <w:left w:val="single" w:color="C07000" w:sz="12"/>
              <w:bottom w:val="single" w:color="C07000" w:sz="12"/>
              <w:right w:val="single" w:color="C07000" w:sz="12"/>
            </w:tcBorders>
            <w:shd w:fill="FFF8E1" w:val="clear"/>
            <w:tcMar>
              <w:top w:type="dxa" w:w="160"/>
              <w:left w:type="dxa" w:w="200"/>
              <w:bottom w:type="dxa" w:w="160"/>
              <w:right w:type="dxa" w:w="200"/>
            </w:tcMar>
          </w:tcPr>
          <w:p>
            <w:pPr>
              <w:spacing w:after="80"/>
            </w:pPr>
            <w:r>
              <w:rPr>
                <w:rFonts w:ascii="Arial" w:cs="Arial" w:eastAsia="Arial" w:hAnsi="Arial"/>
                <w:b/>
                <w:bCs/>
                <w:color w:val="C07000"/>
                <w:sz w:val="24"/>
                <w:szCs w:val="24"/>
              </w:rPr>
              <w:t xml:space="preserve">CMMC Note</w:t>
            </w:r>
          </w:p>
          <w:p>
            <w:pPr>
              <w:spacing w:after="120"/>
            </w:pPr>
            <w:r>
              <w:rPr>
                <w:rFonts w:ascii="Arial" w:cs="Arial" w:eastAsia="Arial" w:hAnsi="Arial"/>
                <w:sz w:val="22"/>
                <w:szCs w:val="22"/>
              </w:rPr>
              <w:t xml:space="preserve">Work performed for this prime on DoD contracts will require CMMC compliance. Review current requirements at dodcio.defense.gov/CMMC and discuss with your APEX advisor before pursuing.</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Burton Construction, Inc.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Contracts Won</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6 sub-awards tracked under GSA PBS construction contracts (NAICS 236220) in the uploaded data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Agencies Served</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GSA Public Buildings Service (Region 10)</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Typical Award Range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$17,960 – $114,634 per task order</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Scope Alignment</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Federal building renovation, IVT room expansion, privacy wall installation, and storm drain repair at GSA facilities in Bellingham, Lynnwood, Blaine, and Bothell. Building renovation task orders of this type frequently include HVAC scope. The uploaded sub-award data confirms a sub-award to Vital Mechanical, Inc. for HVAC unit replacement on a Burton Construction prime.</w:t>
            </w:r>
          </w:p>
        </w:tc>
      </w:tr>
      <w:tr>
        <w:tc>
          <w:tcPr>
            <w:tcW w:type="dxa" w:w="9360"/>
            <w:gridSpan w:val="2"/>
            <w:tcBorders>
              <w:top w:val="single" w:color="2E6DA4" w:sz="6"/>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2E6DA4"/>
                <w:sz w:val="20"/>
                <w:szCs w:val="20"/>
              </w:rPr>
              <w:t xml:space="preserve">(▸) </w:t>
            </w:r>
            <w:r>
              <w:rPr>
                <w:rFonts w:ascii="Arial" w:cs="Arial" w:eastAsia="Arial" w:hAnsi="Arial"/>
                <w:i/>
                <w:iCs/>
                <w:sz w:val="20"/>
                <w:szCs w:val="20"/>
              </w:rPr>
              <w:t xml:space="preserve">Primary agency by spend contracting with Burton Construction: GSA Public Buildings Service, with task orders across multiple federal buildings in your service area.</w:t>
            </w:r>
          </w:p>
        </w:tc>
      </w:tr>
    </w:tbl>
    <w:p>
      <w:pPr>
        <w:spacing w:after="2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9360"/>
            <w:gridSpan w:val="2"/>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2"/>
                <w:szCs w:val="22"/>
              </w:rPr>
              <w:t xml:space="preserve">M.J. Takisaki Inc.  </w:t>
            </w:r>
            <w:r>
              <w:rPr>
                <w:rFonts w:ascii="Arial" w:cs="Arial" w:eastAsia="Arial" w:hAnsi="Arial"/>
                <w:b/>
                <w:bCs/>
                <w:color w:val="4CAF50"/>
                <w:sz w:val="22"/>
                <w:szCs w:val="22"/>
              </w:rPr>
              <w:t xml:space="preserve">MEDIUM</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Contracts Won</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18 sub-awards tracked under GSA PBS construction contracts (NAICS 236220) in the uploaded data</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Agencies Served</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GSA Public Buildings Service</w:t>
            </w:r>
          </w:p>
        </w:tc>
      </w:tr>
      <w:tr>
        <w:tc>
          <w:tcPr>
            <w:tcW w:type="dxa" w:w="2200"/>
            <w:tcBorders>
              <w:top w:val="single" w:color="CCCCCC" w:sz="1"/>
              <w:left w:val="single" w:color="CCCCCC" w:sz="1"/>
              <w:bottom w:val="single" w:color="CCCCCC" w:sz="1"/>
              <w:right w:val="single" w:color="CCCCCC" w:sz="1"/>
            </w:tcBorders>
            <w:shd w:fill="EBF3FB" w:val="clear"/>
            <w:tcMar>
              <w:top w:type="dxa" w:w="80"/>
              <w:left w:type="dxa" w:w="120"/>
              <w:bottom w:type="dxa" w:w="80"/>
              <w:right w:type="dxa" w:w="120"/>
            </w:tcMar>
          </w:tcPr>
          <w:p>
            <w:r>
              <w:rPr>
                <w:rFonts w:ascii="Arial" w:cs="Arial" w:eastAsia="Arial" w:hAnsi="Arial"/>
                <w:b/>
                <w:bCs/>
                <w:color w:val="1B3A6B"/>
                <w:sz w:val="20"/>
                <w:szCs w:val="20"/>
              </w:rPr>
              <w:t xml:space="preserve">Typical Award Range</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Prime contract value: $2,969,173</w:t>
            </w:r>
          </w:p>
        </w:tc>
      </w:tr>
      <w:tr>
        <w:tc>
          <w:tcPr>
            <w:tcW w:type="dxa" w:w="220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b/>
                <w:bCs/>
                <w:color w:val="1B3A6B"/>
                <w:sz w:val="20"/>
                <w:szCs w:val="20"/>
              </w:rPr>
              <w:t xml:space="preserve">Scope Alignment</w:t>
            </w:r>
          </w:p>
        </w:tc>
        <w:tc>
          <w:tcPr>
            <w:tcW w:type="dxa" w:w="7160"/>
            <w:tcBorders>
              <w:top w:val="single" w:color="CCCCCC" w:sz="1"/>
              <w:left w:val="single" w:color="CCCCCC" w:sz="1"/>
              <w:bottom w:val="single" w:color="CCCCCC" w:sz="1"/>
              <w:right w:val="single" w:color="CCCCCC" w:sz="1"/>
            </w:tcBorders>
            <w:shd w:fill="FFFFFF" w:val="clear"/>
            <w:tcMar>
              <w:top w:type="dxa" w:w="80"/>
              <w:left w:type="dxa" w:w="120"/>
              <w:bottom w:type="dxa" w:w="80"/>
              <w:right w:type="dxa" w:w="120"/>
            </w:tcMar>
          </w:tcPr>
          <w:p>
            <w:r>
              <w:rPr>
                <w:rFonts w:ascii="Arial" w:cs="Arial" w:eastAsia="Arial" w:hAnsi="Arial"/>
                <w:sz w:val="20"/>
                <w:szCs w:val="20"/>
              </w:rPr>
              <w:t xml:space="preserve">FDA Bothell Laboratory Modernization project. The uploaded sub-award data confirms $894,688 in HVAC and plumbing sub-awards to Pinchiff Mechanical, LLC, plus an additional $244,676 in mechanical and plumbing scope — demonstrating that HVAC is a significant subcontract component on this prime’s federal facility projects.</w:t>
            </w:r>
          </w:p>
        </w:tc>
      </w:tr>
      <w:tr>
        <w:tc>
          <w:tcPr>
            <w:tcW w:type="dxa" w:w="9360"/>
            <w:gridSpan w:val="2"/>
            <w:tcBorders>
              <w:top w:val="single" w:color="2E6DA4" w:sz="6"/>
              <w:left w:val="single" w:color="CCCCCC" w:sz="1"/>
              <w:bottom w:val="single" w:color="CCCCCC" w:sz="1"/>
              <w:right w:val="single" w:color="CCCCCC" w:sz="1"/>
            </w:tcBorders>
            <w:shd w:fill="D6E4F0" w:val="clear"/>
            <w:tcMar>
              <w:top w:type="dxa" w:w="80"/>
              <w:left w:type="dxa" w:w="120"/>
              <w:bottom w:type="dxa" w:w="80"/>
              <w:right w:type="dxa" w:w="120"/>
            </w:tcMar>
          </w:tcPr>
          <w:p>
            <w:r>
              <w:rPr>
                <w:rFonts w:ascii="Arial" w:cs="Arial" w:eastAsia="Arial" w:hAnsi="Arial"/>
                <w:b/>
                <w:bCs/>
                <w:color w:val="2E6DA4"/>
                <w:sz w:val="20"/>
                <w:szCs w:val="20"/>
              </w:rPr>
              <w:t xml:space="preserve">(▸) </w:t>
            </w:r>
            <w:r>
              <w:rPr>
                <w:rFonts w:ascii="Arial" w:cs="Arial" w:eastAsia="Arial" w:hAnsi="Arial"/>
                <w:i/>
                <w:iCs/>
                <w:sz w:val="20"/>
                <w:szCs w:val="20"/>
              </w:rPr>
              <w:t xml:space="preserve">Primary agency by spend contracting with M.J. Takisaki: GSA Public Buildings Service, with the FDA Bothell laboratory modernization representing the primary project.</w:t>
            </w:r>
          </w:p>
        </w:tc>
      </w:tr>
    </w:tbl>
    <w:p>
      <w:pPr>
        <w:spacing w:after="200"/>
      </w:pPr>
    </w:p>
    <w:p>
      <w:pPr>
        <w:spacing w:after="120" w:before="240"/>
      </w:pPr>
      <w:r>
        <w:rPr>
          <w:rFonts w:ascii="Arial" w:cs="Arial" w:eastAsia="Arial" w:hAnsi="Arial"/>
          <w:b/>
          <w:bCs/>
          <w:color w:val="1B3A6B"/>
          <w:sz w:val="24"/>
          <w:szCs w:val="24"/>
        </w:rPr>
        <w:t xml:space="preserve">Market Intelligence — Federal Forward Signals</w:t>
      </w:r>
    </w:p>
    <w:p>
      <w:pPr>
        <w:pStyle w:val="ListParagraph"/>
        <w:numPr>
          <w:ilvl w:val="0"/>
          <w:numId w:val="4"/>
        </w:numPr>
        <w:spacing w:after="80"/>
      </w:pPr>
      <w:r>
        <w:rPr>
          <w:rFonts w:ascii="Arial" w:cs="Arial" w:eastAsia="Arial" w:hAnsi="Arial"/>
          <w:b/>
          <w:bCs/>
          <w:sz w:val="22"/>
          <w:szCs w:val="22"/>
        </w:rPr>
        <w:t xml:space="preserve">Agency budget justifications: </w:t>
      </w:r>
      <w:r>
        <w:rPr>
          <w:rFonts w:ascii="Arial" w:cs="Arial" w:eastAsia="Arial" w:hAnsi="Arial"/>
          <w:sz w:val="22"/>
          <w:szCs w:val="22"/>
        </w:rPr>
        <w:t xml:space="preserve">Federal agencies publish annual budget justification documents that identify planned facility investments. Review NAVFAC and GSA PBS Region 10 budget documents for HVAC and mechanical projects.</w:t>
      </w:r>
    </w:p>
    <w:p>
      <w:pPr>
        <w:pStyle w:val="ListParagraph"/>
        <w:numPr>
          <w:ilvl w:val="0"/>
          <w:numId w:val="4"/>
        </w:numPr>
        <w:spacing w:after="80"/>
      </w:pPr>
      <w:r>
        <w:rPr>
          <w:rFonts w:ascii="Arial" w:cs="Arial" w:eastAsia="Arial" w:hAnsi="Arial"/>
          <w:b/>
          <w:bCs/>
          <w:sz w:val="22"/>
          <w:szCs w:val="22"/>
        </w:rPr>
        <w:t xml:space="preserve">SAM.gov procurement forecasts: </w:t>
      </w:r>
      <w:r>
        <w:rPr>
          <w:rFonts w:ascii="Arial" w:cs="Arial" w:eastAsia="Arial" w:hAnsi="Arial"/>
          <w:sz w:val="22"/>
          <w:szCs w:val="22"/>
        </w:rPr>
        <w:t xml:space="preserve">Configure saved searches for your NAICS and PSC codes with email alerts. Sources Sought notices signal upcoming procurements before formal solicitations are posted.</w:t>
      </w:r>
    </w:p>
    <w:p>
      <w:pPr>
        <w:pStyle w:val="ListParagraph"/>
        <w:numPr>
          <w:ilvl w:val="0"/>
          <w:numId w:val="4"/>
        </w:numPr>
        <w:spacing w:after="80"/>
      </w:pPr>
      <w:r>
        <w:rPr>
          <w:rFonts w:ascii="Arial" w:cs="Arial" w:eastAsia="Arial" w:hAnsi="Arial"/>
          <w:b/>
          <w:bCs/>
          <w:sz w:val="22"/>
          <w:szCs w:val="22"/>
        </w:rPr>
        <w:t xml:space="preserve">USASpending.gov trend data: </w:t>
      </w:r>
      <w:r>
        <w:rPr>
          <w:rFonts w:ascii="Arial" w:cs="Arial" w:eastAsia="Arial" w:hAnsi="Arial"/>
          <w:sz w:val="22"/>
          <w:szCs w:val="22"/>
        </w:rPr>
        <w:t xml:space="preserve">Track award trends for your target agencies and NAICS codes to identify spending patterns and emerging opportunities.</w:t>
      </w:r>
    </w:p>
    <w:p>
      <w:pPr>
        <w:pStyle w:val="ListParagraph"/>
        <w:numPr>
          <w:ilvl w:val="0"/>
          <w:numId w:val="4"/>
        </w:numPr>
        <w:spacing w:after="80"/>
      </w:pPr>
      <w:r>
        <w:rPr>
          <w:rFonts w:ascii="Arial" w:cs="Arial" w:eastAsia="Arial" w:hAnsi="Arial"/>
          <w:b/>
          <w:bCs/>
          <w:sz w:val="22"/>
          <w:szCs w:val="22"/>
        </w:rPr>
        <w:t xml:space="preserve">NAVFAC Northwest Small Business Office: </w:t>
      </w:r>
      <w:r>
        <w:rPr>
          <w:rFonts w:ascii="Arial" w:cs="Arial" w:eastAsia="Arial" w:hAnsi="Arial"/>
          <w:sz w:val="22"/>
          <w:szCs w:val="22"/>
        </w:rPr>
        <w:t xml:space="preserve">NAVFAC maintains a small business program office that can provide guidance on upcoming opportunities and vendor registration requirements for Navy facility work.</w:t>
      </w:r>
    </w:p>
    <w:p>
      <w:pPr>
        <w:spacing w:after="200"/>
      </w:pPr>
    </w:p>
    <w:p>
      <w:r>
        <w:br w:type="page"/>
      </w:r>
    </w:p>
    <w:p>
      <w:pPr>
        <w:spacing w:after="240" w:before="360"/>
      </w:pPr>
      <w:r>
        <w:rPr>
          <w:rFonts w:ascii="Arial" w:cs="Arial" w:eastAsia="Arial" w:hAnsi="Arial"/>
          <w:b/>
          <w:bCs/>
          <w:color w:val="1B3A6B"/>
          <w:sz w:val="36"/>
          <w:szCs w:val="36"/>
        </w:rPr>
        <w:t xml:space="preserve">Section 3 — Certifications</w:t>
      </w:r>
    </w:p>
    <w:p>
      <w:pPr>
        <w:spacing w:after="120"/>
      </w:pPr>
      <w:r>
        <w:rPr>
          <w:rFonts w:ascii="Arial" w:cs="Arial" w:eastAsia="Arial" w:hAnsi="Arial"/>
          <w:sz w:val="22"/>
          <w:szCs w:val="22"/>
        </w:rPr>
        <w:t xml:space="preserve">Certifications are a leverage point, but competitiveness and capability come first — a certification cannot compensate for a missed requirement or an uncompetitive bid. The certifications below are mapped to your ownership profile (general small business, no qualifying identity-based certifications) and your selected markets.</w:t>
      </w:r>
    </w:p>
    <w:p>
      <w:pPr>
        <w:spacing w:after="200"/>
      </w:pPr>
    </w:p>
    <w:p>
      <w:pPr>
        <w:spacing w:after="180" w:before="280"/>
      </w:pPr>
      <w:r>
        <w:rPr>
          <w:rFonts w:ascii="Arial" w:cs="Arial" w:eastAsia="Arial" w:hAnsi="Arial"/>
          <w:b/>
          <w:bCs/>
          <w:color w:val="2E6DA4"/>
          <w:sz w:val="28"/>
          <w:szCs w:val="28"/>
        </w:rPr>
        <w:t xml:space="preserve">All Businesses — Regardless of Ownership Identity</w:t>
      </w:r>
    </w:p>
    <w:p>
      <w:pPr>
        <w:spacing w:after="120" w:before="240"/>
      </w:pPr>
      <w:r>
        <w:rPr>
          <w:rFonts w:ascii="Arial" w:cs="Arial" w:eastAsia="Arial" w:hAnsi="Arial"/>
          <w:b/>
          <w:bCs/>
          <w:color w:val="1B3A6B"/>
          <w:sz w:val="24"/>
          <w:szCs w:val="24"/>
        </w:rPr>
        <w:t xml:space="preserve">Federal</w:t>
      </w:r>
    </w:p>
    <w:p>
      <w:pPr>
        <w:pStyle w:val="ListParagraph"/>
        <w:numPr>
          <w:ilvl w:val="0"/>
          <w:numId w:val="5"/>
        </w:numPr>
        <w:spacing w:after="80"/>
      </w:pPr>
      <w:r>
        <w:rPr>
          <w:rFonts w:ascii="Arial" w:cs="Arial" w:eastAsia="Arial" w:hAnsi="Arial"/>
          <w:b/>
          <w:bCs/>
          <w:sz w:val="22"/>
          <w:szCs w:val="22"/>
        </w:rPr>
        <w:t xml:space="preserve">SBA Small Business Size Designation: </w:t>
      </w:r>
      <w:r>
        <w:rPr>
          <w:rFonts w:ascii="Arial" w:cs="Arial" w:eastAsia="Arial" w:hAnsi="Arial"/>
          <w:sz w:val="22"/>
          <w:szCs w:val="22"/>
        </w:rPr>
        <w:t xml:space="preserve">Not a certification but a SAM.gov registration designation. Size is determined by your primary NAICS code (238220) against the SBA Table of Small Business Size Standards (sba.gov/size-standards). Established automatically through your SAM.gov profile; no separate application is required. Verify your size standard for each NAICS code you register.</w:t>
      </w:r>
    </w:p>
    <w:p>
      <w:pPr>
        <w:pStyle w:val="ListParagraph"/>
        <w:numPr>
          <w:ilvl w:val="0"/>
          <w:numId w:val="5"/>
        </w:numPr>
        <w:spacing w:after="80"/>
      </w:pPr>
      <w:r>
        <w:rPr>
          <w:rFonts w:ascii="Arial" w:cs="Arial" w:eastAsia="Arial" w:hAnsi="Arial"/>
          <w:b/>
          <w:bCs/>
          <w:sz w:val="22"/>
          <w:szCs w:val="22"/>
        </w:rPr>
        <w:t xml:space="preserve">HUBZone Certification: </w:t>
      </w:r>
      <w:r>
        <w:rPr>
          <w:rFonts w:ascii="Arial" w:cs="Arial" w:eastAsia="Arial" w:hAnsi="Arial"/>
          <w:sz w:val="22"/>
          <w:szCs w:val="22"/>
        </w:rPr>
        <w:t xml:space="preserve">If your business address and employee residency requirements qualify, check sba.gov/hubzone-map. Provides a 10% price evaluation preference and access to HUBZone set-aside contracts. Worth investigating if your business location qualifies.</w:t>
      </w:r>
    </w:p>
    <w:p>
      <w:pPr>
        <w:spacing w:after="200"/>
      </w:pPr>
    </w:p>
    <w:p>
      <w:pPr>
        <w:spacing w:after="120" w:before="240"/>
      </w:pPr>
      <w:r>
        <w:rPr>
          <w:rFonts w:ascii="Arial" w:cs="Arial" w:eastAsia="Arial" w:hAnsi="Arial"/>
          <w:b/>
          <w:bCs/>
          <w:color w:val="1B3A6B"/>
          <w:sz w:val="24"/>
          <w:szCs w:val="24"/>
        </w:rPr>
        <w:t xml:space="preserve">State</w:t>
      </w:r>
    </w:p>
    <w:p>
      <w:pPr>
        <w:pStyle w:val="ListParagraph"/>
        <w:numPr>
          <w:ilvl w:val="0"/>
          <w:numId w:val="5"/>
        </w:numPr>
        <w:spacing w:after="80"/>
      </w:pPr>
      <w:r>
        <w:rPr>
          <w:rFonts w:ascii="Arial" w:cs="Arial" w:eastAsia="Arial" w:hAnsi="Arial"/>
          <w:b/>
          <w:bCs/>
          <w:sz w:val="22"/>
          <w:szCs w:val="22"/>
        </w:rPr>
        <w:t xml:space="preserve">Small Business Enterprise (SBE) through OMWBE: </w:t>
      </w:r>
      <w:r>
        <w:rPr>
          <w:rFonts w:ascii="Arial" w:cs="Arial" w:eastAsia="Arial" w:hAnsi="Arial"/>
          <w:sz w:val="22"/>
          <w:szCs w:val="22"/>
        </w:rPr>
        <w:t xml:space="preserve">Non-identity-based certification. Available to any qualifying small business regardless of ownership. Provides access to state contracting preferences for small businesses.</w:t>
      </w:r>
    </w:p>
    <w:p>
      <w:pPr>
        <w:pStyle w:val="ListParagraph"/>
        <w:numPr>
          <w:ilvl w:val="0"/>
          <w:numId w:val="5"/>
        </w:numPr>
        <w:spacing w:after="80"/>
      </w:pPr>
      <w:r>
        <w:rPr>
          <w:rFonts w:ascii="Arial" w:cs="Arial" w:eastAsia="Arial" w:hAnsi="Arial"/>
          <w:b/>
          <w:bCs/>
          <w:sz w:val="22"/>
          <w:szCs w:val="22"/>
        </w:rPr>
        <w:t xml:space="preserve">Socially and Economically Disadvantaged Business Enterprise (SEDBE) through OMWBE: </w:t>
      </w:r>
      <w:r>
        <w:rPr>
          <w:rFonts w:ascii="Arial" w:cs="Arial" w:eastAsia="Arial" w:hAnsi="Arial"/>
          <w:sz w:val="22"/>
          <w:szCs w:val="22"/>
        </w:rPr>
        <w:t xml:space="preserve">For businesses demonstrating social and economic disadvantage without gender or racial presumption. Review eligibility criteria with OMWBE.</w:t>
      </w:r>
    </w:p>
    <w:p>
      <w:pPr>
        <w:pStyle w:val="ListParagraph"/>
        <w:numPr>
          <w:ilvl w:val="0"/>
          <w:numId w:val="5"/>
        </w:numPr>
        <w:spacing w:after="80"/>
      </w:pPr>
      <w:r>
        <w:rPr>
          <w:rFonts w:ascii="Arial" w:cs="Arial" w:eastAsia="Arial" w:hAnsi="Arial"/>
          <w:b/>
          <w:bCs/>
          <w:sz w:val="22"/>
          <w:szCs w:val="22"/>
        </w:rPr>
        <w:t xml:space="preserve">Small/Micro/Mini Business in WEBS: </w:t>
      </w:r>
      <w:r>
        <w:rPr>
          <w:rFonts w:ascii="Arial" w:cs="Arial" w:eastAsia="Arial" w:hAnsi="Arial"/>
          <w:sz w:val="22"/>
          <w:szCs w:val="22"/>
        </w:rPr>
        <w:t xml:space="preserve">Revenue threshold-based designation set during WEBS registration. Select the appropriate size category based on your annual revenue.</w:t>
      </w:r>
    </w:p>
    <w:p>
      <w:pPr>
        <w:pStyle w:val="ListParagraph"/>
        <w:numPr>
          <w:ilvl w:val="0"/>
          <w:numId w:val="5"/>
        </w:numPr>
        <w:spacing w:after="80"/>
      </w:pPr>
      <w:r>
        <w:rPr>
          <w:rFonts w:ascii="Arial" w:cs="Arial" w:eastAsia="Arial" w:hAnsi="Arial"/>
          <w:b/>
          <w:bCs/>
          <w:sz w:val="22"/>
          <w:szCs w:val="22"/>
        </w:rPr>
        <w:t xml:space="preserve">Public Works Small Business Enterprise (PWSBE) through OMWBE: </w:t>
      </w:r>
      <w:r>
        <w:rPr>
          <w:rFonts w:ascii="Arial" w:cs="Arial" w:eastAsia="Arial" w:hAnsi="Arial"/>
          <w:sz w:val="22"/>
          <w:szCs w:val="22"/>
        </w:rPr>
        <w:t xml:space="preserve">Because your services trigger public works compliance, this certification is relevant. It provides additional preferences on public works contracts for qualifying small businesses.</w:t>
      </w:r>
    </w:p>
    <w:p>
      <w:pPr>
        <w:spacing w:after="200"/>
      </w:pPr>
    </w:p>
    <w:p>
      <w:pPr>
        <w:spacing w:after="120" w:before="240"/>
      </w:pPr>
      <w:r>
        <w:rPr>
          <w:rFonts w:ascii="Arial" w:cs="Arial" w:eastAsia="Arial" w:hAnsi="Arial"/>
          <w:b/>
          <w:bCs/>
          <w:color w:val="1B3A6B"/>
          <w:sz w:val="24"/>
          <w:szCs w:val="24"/>
        </w:rPr>
        <w:t xml:space="preserve">Local</w:t>
      </w:r>
    </w:p>
    <w:p>
      <w:pPr>
        <w:spacing w:after="120"/>
      </w:pPr>
      <w:r>
        <w:rPr>
          <w:rFonts w:ascii="Arial" w:cs="Arial" w:eastAsia="Arial" w:hAnsi="Arial"/>
          <w:sz w:val="22"/>
          <w:szCs w:val="22"/>
        </w:rPr>
        <w:t xml:space="preserve">King County Small Contractor and Supplier (SCS) certification is not included at this time, as King County agencies do not appear among your current target agencies. If your service area expands to include King County work, revisit this certification.</w:t>
      </w:r>
    </w:p>
    <w:p>
      <w:pPr>
        <w:spacing w:after="200"/>
      </w:pPr>
    </w:p>
    <w:p>
      <w:pPr>
        <w:spacing w:after="180" w:before="280"/>
      </w:pPr>
      <w:r>
        <w:rPr>
          <w:rFonts w:ascii="Arial" w:cs="Arial" w:eastAsia="Arial" w:hAnsi="Arial"/>
          <w:b/>
          <w:bCs/>
          <w:color w:val="2E6DA4"/>
          <w:sz w:val="28"/>
          <w:szCs w:val="28"/>
        </w:rPr>
        <w:t xml:space="preserve">Note on Identity-Based Certifications</w:t>
      </w:r>
    </w:p>
    <w:p>
      <w:pPr>
        <w:spacing w:after="120"/>
      </w:pPr>
      <w:r>
        <w:rPr>
          <w:rFonts w:ascii="Arial" w:cs="Arial" w:eastAsia="Arial" w:hAnsi="Arial"/>
          <w:sz w:val="22"/>
          <w:szCs w:val="22"/>
        </w:rPr>
        <w:t xml:space="preserve">Based on the ownership information provided (general small business, no qualifying identity-based categories), the certifications above represent your current certification landscape. If your ownership situation includes any qualifying categories not disclosed — including veteran status with a service-connected disability, which unlocks SDVOSB certification (one of the highest-value certifications in defense contracting) — notify your APEX advisor to update this section.</w:t>
      </w:r>
    </w:p>
    <w:p>
      <w:pPr>
        <w:spacing w:after="200"/>
      </w:pPr>
    </w:p>
    <w:p>
      <w:r>
        <w:br w:type="page"/>
      </w:r>
    </w:p>
    <w:p>
      <w:pPr>
        <w:spacing w:after="240" w:before="360"/>
      </w:pPr>
      <w:r>
        <w:rPr>
          <w:rFonts w:ascii="Arial" w:cs="Arial" w:eastAsia="Arial" w:hAnsi="Arial"/>
          <w:b/>
          <w:bCs/>
          <w:color w:val="1B3A6B"/>
          <w:sz w:val="36"/>
          <w:szCs w:val="36"/>
        </w:rPr>
        <w:t xml:space="preserve">Section 4 — Marketing and Capabilities Statement</w:t>
      </w:r>
    </w:p>
    <w:p>
      <w:pPr>
        <w:spacing w:after="200"/>
      </w:pPr>
    </w:p>
    <w:p>
      <w:pPr>
        <w:spacing w:after="180" w:before="280"/>
      </w:pPr>
      <w:r>
        <w:rPr>
          <w:rFonts w:ascii="Arial" w:cs="Arial" w:eastAsia="Arial" w:hAnsi="Arial"/>
          <w:b/>
          <w:bCs/>
          <w:color w:val="2E6DA4"/>
          <w:sz w:val="28"/>
          <w:szCs w:val="28"/>
        </w:rPr>
        <w:t xml:space="preserve">Capabilities Statement Draft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2"/>
              <w:left w:val="single" w:color="2E6DA4" w:sz="12"/>
              <w:bottom w:val="single" w:color="2E6DA4" w:sz="12"/>
              <w:right w:val="single" w:color="2E6DA4" w:sz="12"/>
            </w:tcBorders>
            <w:shd w:fill="FFFFFF" w:val="clear"/>
            <w:tcMar>
              <w:top w:type="dxa" w:w="160"/>
              <w:left w:type="dxa" w:w="200"/>
              <w:bottom w:type="dxa" w:w="160"/>
              <w:right w:type="dxa" w:w="200"/>
            </w:tcMar>
          </w:tcPr>
          <w:p>
            <w:pPr>
              <w:spacing w:after="120"/>
            </w:pPr>
            <w:r>
              <w:rPr>
                <w:rFonts w:ascii="Arial" w:cs="Arial" w:eastAsia="Arial" w:hAnsi="Arial"/>
                <w:b/>
                <w:bCs/>
                <w:sz w:val="22"/>
                <w:szCs w:val="22"/>
              </w:rPr>
              <w:t xml:space="preserve">Company Name: </w:t>
            </w:r>
            <w:r>
              <w:rPr>
                <w:rFonts w:ascii="Arial" w:cs="Arial" w:eastAsia="Arial" w:hAnsi="Arial"/>
                <w:sz w:val="22"/>
                <w:szCs w:val="22"/>
              </w:rPr>
              <w:t xml:space="preserve">Johnson’s HVAC</w:t>
            </w:r>
          </w:p>
          <w:p>
            <w:pPr>
              <w:spacing w:after="120"/>
            </w:pPr>
            <w:r>
              <w:rPr>
                <w:rFonts w:ascii="Arial" w:cs="Arial" w:eastAsia="Arial" w:hAnsi="Arial"/>
                <w:b/>
                <w:bCs/>
                <w:sz w:val="22"/>
                <w:szCs w:val="22"/>
              </w:rPr>
              <w:t xml:space="preserve">UBI: </w:t>
            </w:r>
            <w:r>
              <w:rPr>
                <w:rFonts w:ascii="Arial" w:cs="Arial" w:eastAsia="Arial" w:hAnsi="Arial"/>
                <w:sz w:val="22"/>
                <w:szCs w:val="22"/>
              </w:rPr>
              <w:t xml:space="preserve">[Client to confirm]</w:t>
            </w:r>
          </w:p>
          <w:p>
            <w:pPr>
              <w:spacing w:after="120"/>
            </w:pPr>
            <w:r>
              <w:rPr>
                <w:rFonts w:ascii="Arial" w:cs="Arial" w:eastAsia="Arial" w:hAnsi="Arial"/>
                <w:b/>
                <w:bCs/>
                <w:sz w:val="22"/>
                <w:szCs w:val="22"/>
              </w:rPr>
              <w:t xml:space="preserve">Primary Contact: </w:t>
            </w:r>
            <w:r>
              <w:rPr>
                <w:rFonts w:ascii="Arial" w:cs="Arial" w:eastAsia="Arial" w:hAnsi="Arial"/>
                <w:sz w:val="22"/>
                <w:szCs w:val="22"/>
              </w:rPr>
              <w:t xml:space="preserve">[Name and title — client to confirm]</w:t>
            </w:r>
          </w:p>
          <w:p>
            <w:pPr>
              <w:spacing w:after="120"/>
            </w:pPr>
            <w:r>
              <w:rPr>
                <w:rFonts w:ascii="Arial" w:cs="Arial" w:eastAsia="Arial" w:hAnsi="Arial"/>
                <w:b/>
                <w:bCs/>
                <w:sz w:val="22"/>
                <w:szCs w:val="22"/>
              </w:rPr>
              <w:t xml:space="preserve">Address: </w:t>
            </w:r>
            <w:r>
              <w:rPr>
                <w:rFonts w:ascii="Arial" w:cs="Arial" w:eastAsia="Arial" w:hAnsi="Arial"/>
                <w:sz w:val="22"/>
                <w:szCs w:val="22"/>
              </w:rPr>
              <w:t xml:space="preserve">[Client to confirm]</w:t>
            </w:r>
          </w:p>
          <w:p>
            <w:pPr>
              <w:spacing w:after="120"/>
            </w:pPr>
            <w:r>
              <w:rPr>
                <w:rFonts w:ascii="Arial" w:cs="Arial" w:eastAsia="Arial" w:hAnsi="Arial"/>
                <w:b/>
                <w:bCs/>
                <w:sz w:val="22"/>
                <w:szCs w:val="22"/>
              </w:rPr>
              <w:t xml:space="preserve">Phone: </w:t>
            </w:r>
            <w:r>
              <w:rPr>
                <w:rFonts w:ascii="Arial" w:cs="Arial" w:eastAsia="Arial" w:hAnsi="Arial"/>
                <w:sz w:val="22"/>
                <w:szCs w:val="22"/>
              </w:rPr>
              <w:t xml:space="preserve">[Client to confirm]</w:t>
            </w:r>
          </w:p>
          <w:p>
            <w:pPr>
              <w:spacing w:after="120"/>
            </w:pPr>
            <w:r>
              <w:rPr>
                <w:rFonts w:ascii="Arial" w:cs="Arial" w:eastAsia="Arial" w:hAnsi="Arial"/>
                <w:b/>
                <w:bCs/>
                <w:sz w:val="22"/>
                <w:szCs w:val="22"/>
              </w:rPr>
              <w:t xml:space="preserve">Email: </w:t>
            </w:r>
            <w:r>
              <w:rPr>
                <w:rFonts w:ascii="Arial" w:cs="Arial" w:eastAsia="Arial" w:hAnsi="Arial"/>
                <w:sz w:val="22"/>
                <w:szCs w:val="22"/>
              </w:rPr>
              <w:t xml:space="preserve">[Client to confirm — NOTE: A domain-based email (e.g., name@johnsons-hvac.com) is strongly recommended. Free email providers (Gmail, Yahoo, Outlook) are a credibility concern for government buyers.]</w:t>
            </w:r>
          </w:p>
          <w:p>
            <w:pPr>
              <w:spacing w:after="120"/>
            </w:pPr>
            <w:r>
              <w:rPr>
                <w:rFonts w:ascii="Arial" w:cs="Arial" w:eastAsia="Arial" w:hAnsi="Arial"/>
                <w:b/>
                <w:bCs/>
                <w:sz w:val="22"/>
                <w:szCs w:val="22"/>
              </w:rPr>
              <w:t xml:space="preserve">Website: </w:t>
            </w:r>
            <w:r>
              <w:rPr>
                <w:rFonts w:ascii="Arial" w:cs="Arial" w:eastAsia="Arial" w:hAnsi="Arial"/>
                <w:sz w:val="22"/>
                <w:szCs w:val="22"/>
              </w:rPr>
              <w:t xml:space="preserve">No website currently. A simple one-page professional site listing services, capabilities, service area, and contact information is recommended before agency outreach.</w:t>
            </w:r>
          </w:p>
          <w:p>
            <w:pPr>
              <w:spacing w:after="120"/>
            </w:pPr>
            <w:r>
              <w:rPr>
                <w:rFonts w:ascii="Arial" w:cs="Arial" w:eastAsia="Arial" w:hAnsi="Arial"/>
                <w:b/>
                <w:bCs/>
                <w:sz w:val="22"/>
                <w:szCs w:val="22"/>
              </w:rPr>
              <w:t xml:space="preserve">Certifications: </w:t>
            </w:r>
            <w:r>
              <w:rPr>
                <w:rFonts w:ascii="Arial" w:cs="Arial" w:eastAsia="Arial" w:hAnsi="Arial"/>
                <w:sz w:val="22"/>
                <w:szCs w:val="22"/>
              </w:rPr>
              <w:t xml:space="preserve">[To be updated as certifications are obtained]</w:t>
            </w:r>
          </w:p>
          <w:p>
            <w:pPr>
              <w:spacing w:after="120"/>
            </w:pPr>
            <w:r>
              <w:rPr>
                <w:rFonts w:ascii="Arial" w:cs="Arial" w:eastAsia="Arial" w:hAnsi="Arial"/>
                <w:b/>
                <w:bCs/>
                <w:sz w:val="22"/>
                <w:szCs w:val="22"/>
              </w:rPr>
              <w:t xml:space="preserve">Service Area: </w:t>
            </w:r>
            <w:r>
              <w:rPr>
                <w:rFonts w:ascii="Arial" w:cs="Arial" w:eastAsia="Arial" w:hAnsi="Arial"/>
                <w:sz w:val="22"/>
                <w:szCs w:val="22"/>
              </w:rPr>
              <w:t xml:space="preserve">Snohomish, Skagit, and Whatcom Counties, Washington</w:t>
            </w:r>
          </w:p>
          <w:p>
            <w:pPr>
              <w:spacing w:after="120"/>
            </w:pPr>
            <w:r>
              <w:rPr>
                <w:rFonts w:ascii="Arial" w:cs="Arial" w:eastAsia="Arial" w:hAnsi="Arial"/>
                <w:b/>
                <w:bCs/>
                <w:sz w:val="22"/>
                <w:szCs w:val="22"/>
              </w:rPr>
              <w:t xml:space="preserve">Years in Business: </w:t>
            </w:r>
            <w:r>
              <w:rPr>
                <w:rFonts w:ascii="Arial" w:cs="Arial" w:eastAsia="Arial" w:hAnsi="Arial"/>
                <w:sz w:val="22"/>
                <w:szCs w:val="22"/>
              </w:rPr>
              <w:t xml:space="preserve">[Client to confirm]</w:t>
            </w:r>
          </w:p>
          <w:p>
            <w:pPr>
              <w:spacing w:after="120"/>
            </w:pPr>
            <w:r>
              <w:rPr>
                <w:rFonts w:ascii="Arial" w:cs="Arial" w:eastAsia="Arial" w:hAnsi="Arial"/>
                <w:b/>
                <w:bCs/>
                <w:sz w:val="22"/>
                <w:szCs w:val="22"/>
              </w:rPr>
              <w:t xml:space="preserve">P-Card Acceptance: </w:t>
            </w:r>
            <w:r>
              <w:rPr>
                <w:rFonts w:ascii="Arial" w:cs="Arial" w:eastAsia="Arial" w:hAnsi="Arial"/>
                <w:sz w:val="22"/>
                <w:szCs w:val="22"/>
              </w:rPr>
              <w:t xml:space="preserve">[Yes / No — client to confirm]</w:t>
            </w:r>
          </w:p>
        </w:tc>
      </w:tr>
    </w:tbl>
    <w:p>
      <w:pPr>
        <w:spacing w:after="200"/>
      </w:pPr>
    </w:p>
    <w:p>
      <w:pPr>
        <w:spacing w:after="120" w:before="240"/>
      </w:pPr>
      <w:r>
        <w:rPr>
          <w:rFonts w:ascii="Arial" w:cs="Arial" w:eastAsia="Arial" w:hAnsi="Arial"/>
          <w:b/>
          <w:bCs/>
          <w:color w:val="1B3A6B"/>
          <w:sz w:val="24"/>
          <w:szCs w:val="24"/>
        </w:rPr>
        <w:t xml:space="preserve">Core Competencies</w:t>
      </w:r>
    </w:p>
    <w:p>
      <w:pPr>
        <w:pStyle w:val="ListParagraph"/>
        <w:numPr>
          <w:ilvl w:val="0"/>
          <w:numId w:val="6"/>
        </w:numPr>
        <w:spacing w:after="80"/>
      </w:pPr>
      <w:r>
        <w:rPr>
          <w:rFonts w:ascii="Arial" w:cs="Arial" w:eastAsia="Arial" w:hAnsi="Arial"/>
          <w:sz w:val="22"/>
          <w:szCs w:val="22"/>
        </w:rPr>
        <w:t xml:space="preserve">Commercial and residential HVAC system installation, repair, and maintenance</w:t>
      </w:r>
    </w:p>
    <w:p>
      <w:pPr>
        <w:pStyle w:val="ListParagraph"/>
        <w:numPr>
          <w:ilvl w:val="0"/>
          <w:numId w:val="6"/>
        </w:numPr>
        <w:spacing w:after="80"/>
      </w:pPr>
      <w:r>
        <w:rPr>
          <w:rFonts w:ascii="Arial" w:cs="Arial" w:eastAsia="Arial" w:hAnsi="Arial"/>
          <w:sz w:val="22"/>
          <w:szCs w:val="22"/>
        </w:rPr>
        <w:t xml:space="preserve">Heating system repair and replacement including furnaces, boilers, and heat pumps</w:t>
      </w:r>
    </w:p>
    <w:p>
      <w:pPr>
        <w:pStyle w:val="ListParagraph"/>
        <w:numPr>
          <w:ilvl w:val="0"/>
          <w:numId w:val="6"/>
        </w:numPr>
        <w:spacing w:after="80"/>
      </w:pPr>
      <w:r>
        <w:rPr>
          <w:rFonts w:ascii="Arial" w:cs="Arial" w:eastAsia="Arial" w:hAnsi="Arial"/>
          <w:sz w:val="22"/>
          <w:szCs w:val="22"/>
        </w:rPr>
        <w:t xml:space="preserve">Air conditioning system installation and service including rooftop units, split systems, and ductless mini splits</w:t>
      </w:r>
    </w:p>
    <w:p>
      <w:pPr>
        <w:pStyle w:val="ListParagraph"/>
        <w:numPr>
          <w:ilvl w:val="0"/>
          <w:numId w:val="6"/>
        </w:numPr>
        <w:spacing w:after="80"/>
      </w:pPr>
      <w:r>
        <w:rPr>
          <w:rFonts w:ascii="Arial" w:cs="Arial" w:eastAsia="Arial" w:hAnsi="Arial"/>
          <w:sz w:val="22"/>
          <w:szCs w:val="22"/>
        </w:rPr>
        <w:t xml:space="preserve">Preventive maintenance programs for building HVAC systems</w:t>
      </w:r>
    </w:p>
    <w:p>
      <w:pPr>
        <w:pStyle w:val="ListParagraph"/>
        <w:numPr>
          <w:ilvl w:val="0"/>
          <w:numId w:val="6"/>
        </w:numPr>
        <w:spacing w:after="80"/>
      </w:pPr>
      <w:r>
        <w:rPr>
          <w:rFonts w:ascii="Arial" w:cs="Arial" w:eastAsia="Arial" w:hAnsi="Arial"/>
          <w:sz w:val="22"/>
          <w:szCs w:val="22"/>
        </w:rPr>
        <w:t xml:space="preserve">Ventilation and ductwork installation and repair</w:t>
      </w:r>
    </w:p>
    <w:p>
      <w:pPr>
        <w:pStyle w:val="ListParagraph"/>
        <w:numPr>
          <w:ilvl w:val="0"/>
          <w:numId w:val="6"/>
        </w:numPr>
        <w:spacing w:after="80"/>
      </w:pPr>
      <w:r>
        <w:rPr>
          <w:rFonts w:ascii="Arial" w:cs="Arial" w:eastAsia="Arial" w:hAnsi="Arial"/>
          <w:sz w:val="22"/>
          <w:szCs w:val="22"/>
        </w:rPr>
        <w:t xml:space="preserve">HVAC controls and building automation system support</w:t>
      </w:r>
    </w:p>
    <w:p>
      <w:pPr>
        <w:spacing w:after="200"/>
      </w:pPr>
    </w:p>
    <w:p>
      <w:pPr>
        <w:spacing w:after="120" w:before="240"/>
      </w:pPr>
      <w:r>
        <w:rPr>
          <w:rFonts w:ascii="Arial" w:cs="Arial" w:eastAsia="Arial" w:hAnsi="Arial"/>
          <w:b/>
          <w:bCs/>
          <w:color w:val="1B3A6B"/>
          <w:sz w:val="24"/>
          <w:szCs w:val="24"/>
        </w:rPr>
        <w:t xml:space="preserve">Differentiators</w:t>
      </w:r>
    </w:p>
    <w:p>
      <w:pPr>
        <w:spacing w:after="120"/>
      </w:pPr>
      <w:r>
        <w:rPr>
          <w:rFonts w:ascii="Arial" w:cs="Arial" w:eastAsia="Arial" w:hAnsi="Arial"/>
          <w:sz w:val="22"/>
          <w:szCs w:val="22"/>
        </w:rPr>
        <w:t xml:space="preserve">[Review and revise with client. Every claim must be backed by a number, credential, or specific capability. Remove any line that cannot be verified.]</w:t>
      </w:r>
    </w:p>
    <w:p>
      <w:pPr>
        <w:pStyle w:val="ListParagraph"/>
        <w:numPr>
          <w:ilvl w:val="0"/>
          <w:numId w:val="6"/>
        </w:numPr>
        <w:spacing w:after="80"/>
      </w:pPr>
      <w:r>
        <w:rPr>
          <w:rFonts w:ascii="Arial" w:cs="Arial" w:eastAsia="Arial" w:hAnsi="Arial"/>
          <w:sz w:val="22"/>
          <w:szCs w:val="22"/>
        </w:rPr>
        <w:t xml:space="preserve">[X] years of HVAC service experience in Snohomish, Skagit, and Whatcom counties</w:t>
      </w:r>
    </w:p>
    <w:p>
      <w:pPr>
        <w:pStyle w:val="ListParagraph"/>
        <w:numPr>
          <w:ilvl w:val="0"/>
          <w:numId w:val="6"/>
        </w:numPr>
        <w:spacing w:after="80"/>
      </w:pPr>
      <w:r>
        <w:rPr>
          <w:rFonts w:ascii="Arial" w:cs="Arial" w:eastAsia="Arial" w:hAnsi="Arial"/>
          <w:sz w:val="22"/>
          <w:szCs w:val="22"/>
        </w:rPr>
        <w:t xml:space="preserve">EPA Section 608 certified technicians [confirm certification status]</w:t>
      </w:r>
    </w:p>
    <w:p>
      <w:pPr>
        <w:pStyle w:val="ListParagraph"/>
        <w:numPr>
          <w:ilvl w:val="0"/>
          <w:numId w:val="6"/>
        </w:numPr>
        <w:spacing w:after="80"/>
      </w:pPr>
      <w:r>
        <w:rPr>
          <w:rFonts w:ascii="Arial" w:cs="Arial" w:eastAsia="Arial" w:hAnsi="Arial"/>
          <w:sz w:val="22"/>
          <w:szCs w:val="22"/>
        </w:rPr>
        <w:t xml:space="preserve">Washington State contractor registration [confirm license number]</w:t>
      </w:r>
    </w:p>
    <w:p>
      <w:pPr>
        <w:pStyle w:val="ListParagraph"/>
        <w:numPr>
          <w:ilvl w:val="0"/>
          <w:numId w:val="6"/>
        </w:numPr>
        <w:spacing w:after="80"/>
      </w:pPr>
      <w:r>
        <w:rPr>
          <w:rFonts w:ascii="Arial" w:cs="Arial" w:eastAsia="Arial" w:hAnsi="Arial"/>
          <w:sz w:val="22"/>
          <w:szCs w:val="22"/>
        </w:rPr>
        <w:t xml:space="preserve">[X]-hour emergency response time within service area [if applicable]</w:t>
      </w:r>
    </w:p>
    <w:p>
      <w:pPr>
        <w:pStyle w:val="ListParagraph"/>
        <w:numPr>
          <w:ilvl w:val="0"/>
          <w:numId w:val="6"/>
        </w:numPr>
        <w:spacing w:after="80"/>
      </w:pPr>
      <w:r>
        <w:rPr>
          <w:rFonts w:ascii="Arial" w:cs="Arial" w:eastAsia="Arial" w:hAnsi="Arial"/>
          <w:sz w:val="22"/>
          <w:szCs w:val="22"/>
        </w:rPr>
        <w:t xml:space="preserve">Experience servicing [specific equipment brands/types relevant to commercial facilities]</w:t>
      </w:r>
    </w:p>
    <w:p>
      <w:pPr>
        <w:spacing w:after="200"/>
      </w:pPr>
    </w:p>
    <w:p>
      <w:pPr>
        <w:spacing w:after="180" w:before="280"/>
      </w:pPr>
      <w:r>
        <w:rPr>
          <w:rFonts w:ascii="Arial" w:cs="Arial" w:eastAsia="Arial" w:hAnsi="Arial"/>
          <w:b/>
          <w:bCs/>
          <w:color w:val="2E6DA4"/>
          <w:sz w:val="28"/>
          <w:szCs w:val="28"/>
        </w:rPr>
        <w:t xml:space="preserve">Experience</w:t>
      </w:r>
    </w:p>
    <w:p>
      <w:pPr>
        <w:spacing w:after="120"/>
      </w:pPr>
      <w:r>
        <w:rPr>
          <w:rFonts w:ascii="Arial" w:cs="Arial" w:eastAsia="Arial" w:hAnsi="Arial"/>
          <w:sz w:val="22"/>
          <w:szCs w:val="22"/>
        </w:rPr>
        <w:t xml:space="preserve">Government past performance is not yet established. The following commercial and residential experience demonstrates capability and readiness for government HVAC work. This section bridges the past-performance gap until government contract history is sufficient to stand on its own.</w:t>
      </w:r>
    </w:p>
    <w:p>
      <w:pPr>
        <w:spacing w:after="120"/>
      </w:pPr>
      <w:r>
        <w:rPr>
          <w:rFonts w:ascii="Arial" w:cs="Arial" w:eastAsia="Arial" w:hAnsi="Arial"/>
          <w:sz w:val="22"/>
          <w:szCs w:val="22"/>
        </w:rPr>
        <w:t xml:space="preserve">[Advisor: work with client to populate. Include commercial clients, nonprofit clients, residential work at relevant scale, and any owner or employee experience at prior firms. Format each entry as:]</w:t>
      </w:r>
    </w:p>
    <w:p>
      <w:pPr>
        <w:pStyle w:val="ListParagraph"/>
        <w:numPr>
          <w:ilvl w:val="0"/>
          <w:numId w:val="6"/>
        </w:numPr>
        <w:spacing w:after="80"/>
      </w:pPr>
      <w:r>
        <w:rPr>
          <w:rFonts w:ascii="Arial" w:cs="Arial" w:eastAsia="Arial" w:hAnsi="Arial"/>
          <w:sz w:val="22"/>
          <w:szCs w:val="22"/>
        </w:rPr>
        <w:t xml:space="preserve">Client name • Scope of work • Dollar value • Date • Duration • Location • Reference available (yes/no)</w:t>
      </w:r>
    </w:p>
    <w:p>
      <w:pPr>
        <w:spacing w:after="120"/>
      </w:pPr>
      <w:r>
        <w:rPr>
          <w:rFonts w:ascii="Arial" w:cs="Arial" w:eastAsia="Arial" w:hAnsi="Arial"/>
          <w:sz w:val="22"/>
          <w:szCs w:val="22"/>
        </w:rPr>
        <w:t xml:space="preserve">[Be generous in interpretation. The goal is demonstrating capability, not government history. Work that shows the ability to perform at the scale and complexity of government contracts is relevant.]</w:t>
      </w:r>
    </w:p>
    <w:p>
      <w:pPr>
        <w:spacing w:after="200"/>
      </w:pPr>
    </w:p>
    <w:p>
      <w:pPr>
        <w:spacing w:after="120" w:before="240"/>
      </w:pPr>
      <w:r>
        <w:rPr>
          <w:rFonts w:ascii="Arial" w:cs="Arial" w:eastAsia="Arial" w:hAnsi="Arial"/>
          <w:b/>
          <w:bCs/>
          <w:color w:val="1B3A6B"/>
          <w:sz w:val="24"/>
          <w:szCs w:val="24"/>
        </w:rPr>
        <w:t xml:space="preserve">Testimonials</w:t>
      </w:r>
    </w:p>
    <w:p>
      <w:pPr>
        <w:spacing w:after="120"/>
      </w:pPr>
      <w:r>
        <w:rPr>
          <w:rFonts w:ascii="Arial" w:cs="Arial" w:eastAsia="Arial" w:hAnsi="Arial"/>
          <w:sz w:val="22"/>
          <w:szCs w:val="22"/>
        </w:rPr>
        <w:t xml:space="preserve">[Include if provided by client. Written permission is required before inclusion.]</w:t>
      </w:r>
    </w:p>
    <w:p>
      <w:pPr>
        <w:spacing w:after="200"/>
      </w:pPr>
    </w:p>
    <w:p>
      <w:r>
        <w:br w:type="page"/>
      </w:r>
    </w:p>
    <w:p>
      <w:pPr>
        <w:spacing w:after="240" w:before="360"/>
      </w:pPr>
      <w:r>
        <w:rPr>
          <w:rFonts w:ascii="Arial" w:cs="Arial" w:eastAsia="Arial" w:hAnsi="Arial"/>
          <w:b/>
          <w:bCs/>
          <w:color w:val="1B3A6B"/>
          <w:sz w:val="36"/>
          <w:szCs w:val="36"/>
        </w:rPr>
        <w:t xml:space="preserve">Section 5 — Capture Management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2"/>
              <w:left w:val="single" w:color="2E6DA4" w:sz="12"/>
              <w:bottom w:val="single" w:color="2E6DA4" w:sz="12"/>
              <w:right w:val="single" w:color="2E6DA4" w:sz="12"/>
            </w:tcBorders>
            <w:shd w:fill="D6E4F0" w:val="clear"/>
            <w:tcMar>
              <w:top w:type="dxa" w:w="160"/>
              <w:left w:type="dxa" w:w="200"/>
              <w:bottom w:type="dxa" w:w="160"/>
              <w:right w:type="dxa" w:w="200"/>
            </w:tcMar>
          </w:tcPr>
          <w:p>
            <w:pPr>
              <w:spacing w:after="120"/>
            </w:pPr>
            <w:r>
              <w:rPr>
                <w:rFonts w:ascii="Arial" w:cs="Arial" w:eastAsia="Arial" w:hAnsi="Arial"/>
                <w:sz w:val="22"/>
                <w:szCs w:val="22"/>
              </w:rPr>
              <w:t xml:space="preserve">By this point you have identified your target buyers, prepared your marketing materials, and have a clear picture of where your services fit in the market. Capture management is about making sure you are positioned to win before a solicitation is ever issued. The goal is to get on the short list of likely awardees before the opportunity goes to formal competition. Government buyers prefer vendors they already know and trust. The work you do now — building relationships, responding to early signals, and staying visible — is what puts you in that position.</w:t>
            </w:r>
          </w:p>
        </w:tc>
      </w:tr>
    </w:tbl>
    <w:p>
      <w:pPr>
        <w:spacing w:after="200"/>
      </w:pPr>
    </w:p>
    <w:p>
      <w:pPr>
        <w:spacing w:after="180" w:before="280"/>
      </w:pPr>
      <w:r>
        <w:rPr>
          <w:rFonts w:ascii="Arial" w:cs="Arial" w:eastAsia="Arial" w:hAnsi="Arial"/>
          <w:b/>
          <w:bCs/>
          <w:color w:val="2E6DA4"/>
          <w:sz w:val="28"/>
          <w:szCs w:val="28"/>
        </w:rPr>
        <w:t xml:space="preserve">Active Engagement — Getting on the Short List</w:t>
      </w:r>
    </w:p>
    <w:p>
      <w:pPr>
        <w:spacing w:after="120" w:before="240"/>
      </w:pPr>
      <w:r>
        <w:rPr>
          <w:rFonts w:ascii="Arial" w:cs="Arial" w:eastAsia="Arial" w:hAnsi="Arial"/>
          <w:b/>
          <w:bCs/>
          <w:color w:val="1B3A6B"/>
          <w:sz w:val="24"/>
          <w:szCs w:val="24"/>
        </w:rPr>
        <w:t xml:space="preserve">Perform Intel on Your Target Agencies</w:t>
      </w:r>
    </w:p>
    <w:p>
      <w:pPr>
        <w:spacing w:after="120"/>
      </w:pPr>
      <w:r>
        <w:rPr>
          <w:rFonts w:ascii="Arial" w:cs="Arial" w:eastAsia="Arial" w:hAnsi="Arial"/>
          <w:sz w:val="22"/>
          <w:szCs w:val="22"/>
        </w:rPr>
        <w:t xml:space="preserve">Before any outreach, research each target agency thoroughly. Review their procurement portals (both internal and public-facing), past award data, and current open opportunities. Check agency-specific small business resource pages. Identify relevant contacts — facilities managers, procurement officers, and small business liaison officers. Register on any required vendor lists and note upcoming events. For your HVAC targets, the facilities or public works department is typically the buying office.</w:t>
      </w:r>
    </w:p>
    <w:p>
      <w:pPr>
        <w:spacing w:after="200"/>
      </w:pPr>
    </w:p>
    <w:p>
      <w:pPr>
        <w:spacing w:after="120" w:before="240"/>
      </w:pPr>
      <w:r>
        <w:rPr>
          <w:rFonts w:ascii="Arial" w:cs="Arial" w:eastAsia="Arial" w:hAnsi="Arial"/>
          <w:b/>
          <w:bCs/>
          <w:color w:val="1B3A6B"/>
          <w:sz w:val="24"/>
          <w:szCs w:val="24"/>
        </w:rPr>
        <w:t xml:space="preserve">Leverage Industry Events and Procurement Fairs</w:t>
      </w:r>
    </w:p>
    <w:p>
      <w:pPr>
        <w:spacing w:after="120"/>
      </w:pPr>
      <w:r>
        <w:rPr>
          <w:rFonts w:ascii="Arial" w:cs="Arial" w:eastAsia="Arial" w:hAnsi="Arial"/>
          <w:sz w:val="22"/>
          <w:szCs w:val="22"/>
        </w:rPr>
        <w:t xml:space="preserve">Industry days, procurement fairs, and APEX-hosted events are where buyers and vendors meet face to face. Prioritize events where your specific target agencies are present. The Washington APEX Accelerator publishes a current events calendar at washingtonapexaccelerator.org. For federal targets, NAVFAC and GSA host small business outreach events that are directly relevant to your service category.</w:t>
      </w:r>
    </w:p>
    <w:p>
      <w:pPr>
        <w:spacing w:after="200"/>
      </w:pPr>
    </w:p>
    <w:p>
      <w:pPr>
        <w:spacing w:after="120" w:before="240"/>
      </w:pPr>
      <w:r>
        <w:rPr>
          <w:rFonts w:ascii="Arial" w:cs="Arial" w:eastAsia="Arial" w:hAnsi="Arial"/>
          <w:b/>
          <w:bCs/>
          <w:color w:val="1B3A6B"/>
          <w:sz w:val="24"/>
          <w:szCs w:val="24"/>
        </w:rPr>
        <w:t xml:space="preserve">Build Direct Relationships with Procurement Contacts</w:t>
      </w:r>
    </w:p>
    <w:p>
      <w:pPr>
        <w:spacing w:after="120"/>
      </w:pPr>
      <w:r>
        <w:rPr>
          <w:rFonts w:ascii="Arial" w:cs="Arial" w:eastAsia="Arial" w:hAnsi="Arial"/>
          <w:sz w:val="22"/>
          <w:szCs w:val="22"/>
        </w:rPr>
        <w:t xml:space="preserve">Use the contacts you identified in your intel phase to make targeted introductions. A brief, professional outreach with your capabilities statement attached is appropriate and expected. Contracting officers are often stretched thin — facilities managers and small business liaisons are good entry points, especially at smaller agencies. For your local targets like Sno-Isle Libraries and the City of Bellingham, the facilities maintenance or public works department is where HVAC purchasing decisions are made.</w:t>
      </w:r>
    </w:p>
    <w:p>
      <w:pPr>
        <w:spacing w:after="200"/>
      </w:pPr>
    </w:p>
    <w:p>
      <w:pPr>
        <w:spacing w:after="120" w:before="240"/>
      </w:pPr>
      <w:r>
        <w:rPr>
          <w:rFonts w:ascii="Arial" w:cs="Arial" w:eastAsia="Arial" w:hAnsi="Arial"/>
          <w:b/>
          <w:bCs/>
          <w:color w:val="1B3A6B"/>
          <w:sz w:val="24"/>
          <w:szCs w:val="24"/>
        </w:rPr>
        <w:t xml:space="preserve">Respond to Sources Sought Notices and RFIs</w:t>
      </w:r>
    </w:p>
    <w:p>
      <w:pPr>
        <w:spacing w:after="120"/>
      </w:pPr>
      <w:r>
        <w:rPr>
          <w:rFonts w:ascii="Arial" w:cs="Arial" w:eastAsia="Arial" w:hAnsi="Arial"/>
          <w:sz w:val="22"/>
          <w:szCs w:val="22"/>
        </w:rPr>
        <w:t xml:space="preserve">These pre-solicitation signals tell you a purchase is being planned. Responding tells the buyer you exist, demonstrates your capability, and can influence how the eventual solicitation is written. Search SAM.gov regularly using your NAICS and PSC codes. For state and local, monitor WEBS and agency procurement pages for similar early-stage notices.</w:t>
      </w:r>
    </w:p>
    <w:p>
      <w:pPr>
        <w:spacing w:after="200"/>
      </w:pPr>
    </w:p>
    <w:p>
      <w:pPr>
        <w:spacing w:after="120" w:before="240"/>
      </w:pPr>
      <w:r>
        <w:rPr>
          <w:rFonts w:ascii="Arial" w:cs="Arial" w:eastAsia="Arial" w:hAnsi="Arial"/>
          <w:b/>
          <w:bCs/>
          <w:color w:val="1B3A6B"/>
          <w:sz w:val="24"/>
          <w:szCs w:val="24"/>
        </w:rPr>
        <w:t xml:space="preserve">Attend Pre-Bid and Pre-Proposal Meetings</w:t>
      </w:r>
    </w:p>
    <w:p>
      <w:pPr>
        <w:spacing w:after="120"/>
      </w:pPr>
      <w:r>
        <w:rPr>
          <w:rFonts w:ascii="Arial" w:cs="Arial" w:eastAsia="Arial" w:hAnsi="Arial"/>
          <w:sz w:val="22"/>
          <w:szCs w:val="22"/>
        </w:rPr>
        <w:t xml:space="preserve">When a target agency posts an opportunity, attend every pre-bid meeting you can. This is where you meet decision-makers, hear what they actually care about, and ask questions that demonstrate expertise. A well-timed question or comment about HVAC system specifications or installation requirements signals competence to the contracting officer.</w:t>
      </w:r>
    </w:p>
    <w:p>
      <w:pPr>
        <w:spacing w:after="200"/>
      </w:pPr>
    </w:p>
    <w:p>
      <w:pPr>
        <w:spacing w:after="120" w:before="240"/>
      </w:pPr>
      <w:r>
        <w:rPr>
          <w:rFonts w:ascii="Arial" w:cs="Arial" w:eastAsia="Arial" w:hAnsi="Arial"/>
          <w:b/>
          <w:bCs/>
          <w:color w:val="1B3A6B"/>
          <w:sz w:val="24"/>
          <w:szCs w:val="24"/>
        </w:rPr>
        <w:t xml:space="preserve">Ask Strong Questions During Open Comment Windows</w:t>
      </w:r>
    </w:p>
    <w:p>
      <w:pPr>
        <w:spacing w:after="120"/>
      </w:pPr>
      <w:r>
        <w:rPr>
          <w:rFonts w:ascii="Arial" w:cs="Arial" w:eastAsia="Arial" w:hAnsi="Arial"/>
          <w:sz w:val="22"/>
          <w:szCs w:val="22"/>
        </w:rPr>
        <w:t xml:space="preserve">On active solicitations, contracting officers must respond to written questions submitted during the open window. A specific, well-structured question signals competence. A question whose answer is already in the document does the opposite.</w:t>
      </w:r>
    </w:p>
    <w:p>
      <w:pPr>
        <w:spacing w:after="200"/>
      </w:pPr>
    </w:p>
    <w:p>
      <w:pPr>
        <w:spacing w:after="120" w:before="240"/>
      </w:pPr>
      <w:r>
        <w:rPr>
          <w:rFonts w:ascii="Arial" w:cs="Arial" w:eastAsia="Arial" w:hAnsi="Arial"/>
          <w:b/>
          <w:bCs/>
          <w:color w:val="1B3A6B"/>
          <w:sz w:val="24"/>
          <w:szCs w:val="24"/>
        </w:rPr>
        <w:t xml:space="preserve">Prime Contractor Outreach</w:t>
      </w:r>
    </w:p>
    <w:p>
      <w:pPr>
        <w:spacing w:after="120"/>
      </w:pPr>
      <w:r>
        <w:rPr>
          <w:rFonts w:ascii="Arial" w:cs="Arial" w:eastAsia="Arial" w:hAnsi="Arial"/>
          <w:sz w:val="22"/>
          <w:szCs w:val="22"/>
        </w:rPr>
        <w:t xml:space="preserve">For the prime contractors identified in Section 2, your outreach strategy is different from direct agency outreach. Reach out directly with your capabilities statement and emphasize your geographic availability, HVAC-specific qualifications, and ability to mobilize quickly for project-based work. Attend any subcontractor outreach events hosted by your target primes. General contractors regularly need reliable, local HVAC subcontractors — your proximity to the work site and responsiveness are competitive advantages.</w:t>
      </w:r>
    </w:p>
    <w:p>
      <w:pPr>
        <w:spacing w:after="200"/>
      </w:pPr>
    </w:p>
    <w:p>
      <w:pPr>
        <w:spacing w:after="180" w:before="280"/>
      </w:pPr>
      <w:r>
        <w:rPr>
          <w:rFonts w:ascii="Arial" w:cs="Arial" w:eastAsia="Arial" w:hAnsi="Arial"/>
          <w:b/>
          <w:bCs/>
          <w:color w:val="2E6DA4"/>
          <w:sz w:val="28"/>
          <w:szCs w:val="28"/>
        </w:rPr>
        <w:t xml:space="preserve">Registrations — Your Foundation</w:t>
      </w:r>
    </w:p>
    <w:p>
      <w:pPr>
        <w:spacing w:after="120" w:before="240"/>
      </w:pPr>
      <w:r>
        <w:rPr>
          <w:rFonts w:ascii="Arial" w:cs="Arial" w:eastAsia="Arial" w:hAnsi="Arial"/>
          <w:b/>
          <w:bCs/>
          <w:color w:val="1B3A6B"/>
          <w:sz w:val="24"/>
          <w:szCs w:val="24"/>
        </w:rPr>
        <w:t xml:space="preserve">State and Local</w:t>
      </w:r>
    </w:p>
    <w:p>
      <w:pPr>
        <w:pStyle w:val="ListParagraph"/>
        <w:numPr>
          <w:ilvl w:val="0"/>
          <w:numId w:val="5"/>
        </w:numPr>
        <w:spacing w:after="80"/>
      </w:pPr>
      <w:r>
        <w:rPr>
          <w:rFonts w:ascii="Arial" w:cs="Arial" w:eastAsia="Arial" w:hAnsi="Arial"/>
          <w:b/>
          <w:bCs/>
          <w:sz w:val="22"/>
          <w:szCs w:val="22"/>
        </w:rPr>
        <w:t xml:space="preserve">Register directly in target agency procurement portals. </w:t>
      </w:r>
      <w:r>
        <w:rPr>
          <w:rFonts w:ascii="Arial" w:cs="Arial" w:eastAsia="Arial" w:hAnsi="Arial"/>
          <w:sz w:val="22"/>
          <w:szCs w:val="22"/>
        </w:rPr>
        <w:t xml:space="preserve">Start with your top three local targets: Sno-Isle Libraries, City of Bellingham, and County of Whatcom. Check each agency’s website for vendor registration requirements.</w:t>
      </w:r>
    </w:p>
    <w:p>
      <w:pPr>
        <w:pStyle w:val="ListParagraph"/>
        <w:numPr>
          <w:ilvl w:val="0"/>
          <w:numId w:val="5"/>
        </w:numPr>
        <w:spacing w:after="80"/>
      </w:pPr>
      <w:r>
        <w:rPr>
          <w:rFonts w:ascii="Arial" w:cs="Arial" w:eastAsia="Arial" w:hAnsi="Arial"/>
          <w:b/>
          <w:bCs/>
          <w:sz w:val="22"/>
          <w:szCs w:val="22"/>
        </w:rPr>
        <w:t xml:space="preserve">Register on WEBS </w:t>
      </w:r>
      <w:r>
        <w:rPr>
          <w:rFonts w:ascii="Arial" w:cs="Arial" w:eastAsia="Arial" w:hAnsi="Arial"/>
          <w:sz w:val="22"/>
          <w:szCs w:val="22"/>
        </w:rPr>
        <w:t xml:space="preserve">under applicable NIGP codes (910-38, 031, 031-42, 936) with email notifications enabled. This is your primary alert system for state and local solicitations.</w:t>
      </w:r>
    </w:p>
    <w:p>
      <w:pPr>
        <w:pStyle w:val="ListParagraph"/>
        <w:numPr>
          <w:ilvl w:val="0"/>
          <w:numId w:val="5"/>
        </w:numPr>
        <w:spacing w:after="80"/>
      </w:pPr>
      <w:r>
        <w:rPr>
          <w:rFonts w:ascii="Arial" w:cs="Arial" w:eastAsia="Arial" w:hAnsi="Arial"/>
          <w:b/>
          <w:bCs/>
          <w:sz w:val="22"/>
          <w:szCs w:val="22"/>
        </w:rPr>
        <w:t xml:space="preserve">Review MRSC Rosters. </w:t>
      </w:r>
      <w:r>
        <w:rPr>
          <w:rFonts w:ascii="Arial" w:cs="Arial" w:eastAsia="Arial" w:hAnsi="Arial"/>
          <w:sz w:val="22"/>
          <w:szCs w:val="22"/>
        </w:rPr>
        <w:t xml:space="preserve">MRSC is a vendor registration tool, not an opportunity posting platform. Contracting officers use MRSC rosters to find and reach out directly to registered vendors. Not all agencies use MRSC; verify that your target agencies participate before paying the registration fee. Once confirmed, register under all applicable service categories.</w:t>
      </w:r>
    </w:p>
    <w:p>
      <w:pPr>
        <w:pStyle w:val="ListParagraph"/>
        <w:numPr>
          <w:ilvl w:val="0"/>
          <w:numId w:val="5"/>
        </w:numPr>
        <w:spacing w:after="80"/>
      </w:pPr>
      <w:r>
        <w:rPr>
          <w:rFonts w:ascii="Arial" w:cs="Arial" w:eastAsia="Arial" w:hAnsi="Arial"/>
          <w:b/>
          <w:bCs/>
          <w:sz w:val="22"/>
          <w:szCs w:val="22"/>
        </w:rPr>
        <w:t xml:space="preserve">Check applicable DES statewide contracts. </w:t>
      </w:r>
      <w:r>
        <w:rPr>
          <w:rFonts w:ascii="Arial" w:cs="Arial" w:eastAsia="Arial" w:hAnsi="Arial"/>
          <w:sz w:val="22"/>
          <w:szCs w:val="22"/>
        </w:rPr>
        <w:t xml:space="preserve">The DES statewide contract for HVAC Services is active. Determine whether you need to pursue a contract slot rather than pursuing direct agency contact. Your APEX advisor can help assess whether a statewide contract position is appropriate for your business at this stage.</w:t>
      </w:r>
    </w:p>
    <w:p>
      <w:pPr>
        <w:pStyle w:val="ListParagraph"/>
        <w:numPr>
          <w:ilvl w:val="0"/>
          <w:numId w:val="5"/>
        </w:numPr>
        <w:spacing w:after="80"/>
      </w:pPr>
      <w:r>
        <w:rPr>
          <w:rFonts w:ascii="Arial" w:cs="Arial" w:eastAsia="Arial" w:hAnsi="Arial"/>
          <w:b/>
          <w:bCs/>
          <w:sz w:val="22"/>
          <w:szCs w:val="22"/>
        </w:rPr>
        <w:t xml:space="preserve">Review APEX’s BidMatch service </w:t>
      </w:r>
      <w:r>
        <w:rPr>
          <w:rFonts w:ascii="Arial" w:cs="Arial" w:eastAsia="Arial" w:hAnsi="Arial"/>
          <w:sz w:val="22"/>
          <w:szCs w:val="22"/>
        </w:rPr>
        <w:t xml:space="preserve">at washingtonapexaccelerator.org and determine whether enrollment fits your monitoring needs.</w:t>
      </w:r>
    </w:p>
    <w:p>
      <w:pPr>
        <w:spacing w:after="200"/>
      </w:pPr>
    </w:p>
    <w:p>
      <w:pPr>
        <w:spacing w:after="120" w:before="240"/>
      </w:pPr>
      <w:r>
        <w:rPr>
          <w:rFonts w:ascii="Arial" w:cs="Arial" w:eastAsia="Arial" w:hAnsi="Arial"/>
          <w:b/>
          <w:bCs/>
          <w:color w:val="1B3A6B"/>
          <w:sz w:val="24"/>
          <w:szCs w:val="24"/>
        </w:rPr>
        <w:t xml:space="preserve">Federal</w:t>
      </w:r>
    </w:p>
    <w:p>
      <w:pPr>
        <w:pStyle w:val="ListParagraph"/>
        <w:numPr>
          <w:ilvl w:val="0"/>
          <w:numId w:val="5"/>
        </w:numPr>
        <w:spacing w:after="80"/>
      </w:pPr>
      <w:r>
        <w:rPr>
          <w:rFonts w:ascii="Arial" w:cs="Arial" w:eastAsia="Arial" w:hAnsi="Arial"/>
          <w:b/>
          <w:bCs/>
          <w:sz w:val="22"/>
          <w:szCs w:val="22"/>
        </w:rPr>
        <w:t xml:space="preserve">Complete SAM.gov registration </w:t>
      </w:r>
      <w:r>
        <w:rPr>
          <w:rFonts w:ascii="Arial" w:cs="Arial" w:eastAsia="Arial" w:hAnsi="Arial"/>
          <w:sz w:val="22"/>
          <w:szCs w:val="22"/>
        </w:rPr>
        <w:t xml:space="preserve">with an active UEI and CAGE code. Configure saved searches and opportunity alerts for your NAICS codes (238220, 811310, 238290) and PSC codes (J041, J045, Z2AA). Complete this registration now, even if active federal pursuit is 12–18 months away — it is a foundation step.</w:t>
      </w:r>
    </w:p>
    <w:p>
      <w:pPr>
        <w:pStyle w:val="ListParagraph"/>
        <w:numPr>
          <w:ilvl w:val="0"/>
          <w:numId w:val="5"/>
        </w:numPr>
        <w:spacing w:after="80"/>
      </w:pPr>
      <w:r>
        <w:rPr>
          <w:rFonts w:ascii="Arial" w:cs="Arial" w:eastAsia="Arial" w:hAnsi="Arial"/>
          <w:b/>
          <w:bCs/>
          <w:sz w:val="22"/>
          <w:szCs w:val="22"/>
        </w:rPr>
        <w:t xml:space="preserve">Verify your NAICS and PSC codes </w:t>
      </w:r>
      <w:r>
        <w:rPr>
          <w:rFonts w:ascii="Arial" w:cs="Arial" w:eastAsia="Arial" w:hAnsi="Arial"/>
          <w:sz w:val="22"/>
          <w:szCs w:val="22"/>
        </w:rPr>
        <w:t xml:space="preserve">are accurate in your SAM.gov profile — these drive which opportunities find you.</w:t>
      </w:r>
    </w:p>
    <w:p>
      <w:pPr>
        <w:pStyle w:val="ListParagraph"/>
        <w:numPr>
          <w:ilvl w:val="0"/>
          <w:numId w:val="5"/>
        </w:numPr>
        <w:spacing w:after="80"/>
      </w:pPr>
      <w:r>
        <w:rPr>
          <w:rFonts w:ascii="Arial" w:cs="Arial" w:eastAsia="Arial" w:hAnsi="Arial"/>
          <w:b/>
          <w:bCs/>
          <w:sz w:val="22"/>
          <w:szCs w:val="22"/>
        </w:rPr>
        <w:t xml:space="preserve">Complete your SBA Small Business Search profile. </w:t>
      </w:r>
      <w:r>
        <w:rPr>
          <w:rFonts w:ascii="Arial" w:cs="Arial" w:eastAsia="Arial" w:hAnsi="Arial"/>
          <w:sz w:val="22"/>
          <w:szCs w:val="22"/>
        </w:rPr>
        <w:t xml:space="preserve">The Capabilities Narrative is a keyword field; treat it that way. Include your government-aligned keywords from Section 1.</w:t>
      </w:r>
    </w:p>
    <w:p>
      <w:pPr>
        <w:pStyle w:val="ListParagraph"/>
        <w:numPr>
          <w:ilvl w:val="0"/>
          <w:numId w:val="5"/>
        </w:numPr>
        <w:spacing w:after="80"/>
      </w:pPr>
      <w:r>
        <w:rPr>
          <w:rFonts w:ascii="Arial" w:cs="Arial" w:eastAsia="Arial" w:hAnsi="Arial"/>
          <w:b/>
          <w:bCs/>
          <w:sz w:val="22"/>
          <w:szCs w:val="22"/>
        </w:rPr>
        <w:t xml:space="preserve">Review GSA Schedule eligibility </w:t>
      </w:r>
      <w:r>
        <w:rPr>
          <w:rFonts w:ascii="Arial" w:cs="Arial" w:eastAsia="Arial" w:hAnsi="Arial"/>
          <w:sz w:val="22"/>
          <w:szCs w:val="22"/>
        </w:rPr>
        <w:t xml:space="preserve">if federal contract volume in your pipeline research supports it. This is a longer-term consideration once you have established federal past performance.</w:t>
      </w:r>
    </w:p>
    <w:p>
      <w:pPr>
        <w:spacing w:after="200"/>
      </w:pPr>
    </w:p>
    <w:p>
      <w:pPr>
        <w:spacing w:after="180" w:before="280"/>
      </w:pPr>
      <w:r>
        <w:rPr>
          <w:rFonts w:ascii="Arial" w:cs="Arial" w:eastAsia="Arial" w:hAnsi="Arial"/>
          <w:b/>
          <w:bCs/>
          <w:color w:val="2E6DA4"/>
          <w:sz w:val="28"/>
          <w:szCs w:val="28"/>
        </w:rPr>
        <w:t xml:space="preserve">Opportunity Monitoring</w:t>
      </w:r>
    </w:p>
    <w:p>
      <w:pPr>
        <w:spacing w:after="120"/>
      </w:pPr>
      <w:r>
        <w:rPr>
          <w:rFonts w:ascii="Arial" w:cs="Arial" w:eastAsia="Arial" w:hAnsi="Arial"/>
          <w:sz w:val="22"/>
          <w:szCs w:val="22"/>
        </w:rPr>
        <w:t xml:space="preserve">Build this into a weekly habit. Government buyers prefer vendors they already know — consistent visibility is how you stay on the short list.</w:t>
      </w:r>
    </w:p>
    <w:p>
      <w:pPr>
        <w:spacing w:after="200"/>
      </w:pPr>
    </w:p>
    <w:p>
      <w:pPr>
        <w:spacing w:after="120" w:before="240"/>
      </w:pPr>
      <w:r>
        <w:rPr>
          <w:rFonts w:ascii="Arial" w:cs="Arial" w:eastAsia="Arial" w:hAnsi="Arial"/>
          <w:b/>
          <w:bCs/>
          <w:color w:val="1B3A6B"/>
          <w:sz w:val="24"/>
          <w:szCs w:val="24"/>
        </w:rPr>
        <w:t xml:space="preserve">State and Local</w:t>
      </w:r>
    </w:p>
    <w:p>
      <w:pPr>
        <w:pStyle w:val="ListParagraph"/>
        <w:numPr>
          <w:ilvl w:val="0"/>
          <w:numId w:val="5"/>
        </w:numPr>
        <w:spacing w:after="80"/>
      </w:pPr>
      <w:r>
        <w:rPr>
          <w:rFonts w:ascii="Arial" w:cs="Arial" w:eastAsia="Arial" w:hAnsi="Arial"/>
          <w:b/>
          <w:bCs/>
          <w:sz w:val="22"/>
          <w:szCs w:val="22"/>
        </w:rPr>
        <w:t xml:space="preserve">WEBS email notifications: </w:t>
      </w:r>
      <w:r>
        <w:rPr>
          <w:rFonts w:ascii="Arial" w:cs="Arial" w:eastAsia="Arial" w:hAnsi="Arial"/>
          <w:sz w:val="22"/>
          <w:szCs w:val="22"/>
        </w:rPr>
        <w:t xml:space="preserve">Once configured, WEBS will alert you to new solicitations matching your registered commodity codes. Review every notification promptly — response windows on informal solicitations can be short.</w:t>
      </w:r>
    </w:p>
    <w:p>
      <w:pPr>
        <w:pStyle w:val="ListParagraph"/>
        <w:numPr>
          <w:ilvl w:val="0"/>
          <w:numId w:val="5"/>
        </w:numPr>
        <w:spacing w:after="80"/>
      </w:pPr>
      <w:r>
        <w:rPr>
          <w:rFonts w:ascii="Arial" w:cs="Arial" w:eastAsia="Arial" w:hAnsi="Arial"/>
          <w:b/>
          <w:bCs/>
          <w:sz w:val="22"/>
          <w:szCs w:val="22"/>
        </w:rPr>
        <w:t xml:space="preserve">Agency procurement portal alerts: </w:t>
      </w:r>
      <w:r>
        <w:rPr>
          <w:rFonts w:ascii="Arial" w:cs="Arial" w:eastAsia="Arial" w:hAnsi="Arial"/>
          <w:sz w:val="22"/>
          <w:szCs w:val="22"/>
        </w:rPr>
        <w:t xml:space="preserve">Most agency procurement portals allow you to set up email notifications for new postings. Do this for each of your top target agencies. Look not just for active solicitations but for Capital Improvement Plans, budget announcements, and upcoming project notices that signal future work.</w:t>
      </w:r>
    </w:p>
    <w:p>
      <w:pPr>
        <w:spacing w:after="200"/>
      </w:pPr>
    </w:p>
    <w:p>
      <w:pPr>
        <w:spacing w:after="120" w:before="240"/>
      </w:pPr>
      <w:r>
        <w:rPr>
          <w:rFonts w:ascii="Arial" w:cs="Arial" w:eastAsia="Arial" w:hAnsi="Arial"/>
          <w:b/>
          <w:bCs/>
          <w:color w:val="1B3A6B"/>
          <w:sz w:val="24"/>
          <w:szCs w:val="24"/>
        </w:rPr>
        <w:t xml:space="preserve">Federal</w:t>
      </w:r>
    </w:p>
    <w:p>
      <w:pPr>
        <w:pStyle w:val="ListParagraph"/>
        <w:numPr>
          <w:ilvl w:val="0"/>
          <w:numId w:val="5"/>
        </w:numPr>
        <w:spacing w:after="80"/>
      </w:pPr>
      <w:r>
        <w:rPr>
          <w:rFonts w:ascii="Arial" w:cs="Arial" w:eastAsia="Arial" w:hAnsi="Arial"/>
          <w:b/>
          <w:bCs/>
          <w:sz w:val="22"/>
          <w:szCs w:val="22"/>
        </w:rPr>
        <w:t xml:space="preserve">SAM.gov saved searches: </w:t>
      </w:r>
      <w:r>
        <w:rPr>
          <w:rFonts w:ascii="Arial" w:cs="Arial" w:eastAsia="Arial" w:hAnsi="Arial"/>
          <w:sz w:val="22"/>
          <w:szCs w:val="22"/>
        </w:rPr>
        <w:t xml:space="preserve">Configure saved searches for your NAICS and PSC codes with email alerts enabled. Check regularly for Sources Sought notices — these are pre-solicitation signals that a purchase is being planned, not just formal bids.</w:t>
      </w:r>
    </w:p>
    <w:p>
      <w:pPr>
        <w:pStyle w:val="ListParagraph"/>
        <w:numPr>
          <w:ilvl w:val="0"/>
          <w:numId w:val="5"/>
        </w:numPr>
        <w:spacing w:after="80"/>
      </w:pPr>
      <w:r>
        <w:rPr>
          <w:rFonts w:ascii="Arial" w:cs="Arial" w:eastAsia="Arial" w:hAnsi="Arial"/>
          <w:b/>
          <w:bCs/>
          <w:sz w:val="22"/>
          <w:szCs w:val="22"/>
        </w:rPr>
        <w:t xml:space="preserve">Agency procurement portal alerts: </w:t>
      </w:r>
      <w:r>
        <w:rPr>
          <w:rFonts w:ascii="Arial" w:cs="Arial" w:eastAsia="Arial" w:hAnsi="Arial"/>
          <w:sz w:val="22"/>
          <w:szCs w:val="22"/>
        </w:rPr>
        <w:t xml:space="preserve">Federal agencies often maintain their own forecast and acquisition planning pages separate from SAM.gov. Bookmark these for your top target agencies and set up notifications where available. NAVFAC Northwest and GSA PBS Region 10 both publish contracting opportunities on their own platforms.</w:t>
      </w:r>
    </w:p>
    <w:p>
      <w:pPr>
        <w:spacing w:after="200"/>
      </w:pPr>
    </w:p>
    <w:p>
      <w:pPr>
        <w:spacing w:after="120" w:before="240"/>
      </w:pPr>
      <w:r>
        <w:rPr>
          <w:rFonts w:ascii="Arial" w:cs="Arial" w:eastAsia="Arial" w:hAnsi="Arial"/>
          <w:b/>
          <w:bCs/>
          <w:color w:val="1B3A6B"/>
          <w:sz w:val="24"/>
          <w:szCs w:val="24"/>
        </w:rPr>
        <w:t xml:space="preserve">All Markets</w:t>
      </w:r>
    </w:p>
    <w:p>
      <w:pPr>
        <w:pStyle w:val="ListParagraph"/>
        <w:numPr>
          <w:ilvl w:val="0"/>
          <w:numId w:val="5"/>
        </w:numPr>
        <w:spacing w:after="80"/>
      </w:pPr>
      <w:r>
        <w:rPr>
          <w:rFonts w:ascii="Arial" w:cs="Arial" w:eastAsia="Arial" w:hAnsi="Arial"/>
          <w:b/>
          <w:bCs/>
          <w:sz w:val="22"/>
          <w:szCs w:val="22"/>
        </w:rPr>
        <w:t xml:space="preserve">Stay organized: </w:t>
      </w:r>
      <w:r>
        <w:rPr>
          <w:rFonts w:ascii="Arial" w:cs="Arial" w:eastAsia="Arial" w:hAnsi="Arial"/>
          <w:sz w:val="22"/>
          <w:szCs w:val="22"/>
        </w:rPr>
        <w:t xml:space="preserve">Use a spreadsheet or simple tracker to log agencies contacted, solicitations reviewed, bids submitted, and follow-up dates. Government contracting is a long sales cycle — organized tracking is how you maintain momentum.</w:t>
      </w:r>
    </w:p>
    <w:p>
      <w:pPr>
        <w:pStyle w:val="ListParagraph"/>
        <w:numPr>
          <w:ilvl w:val="0"/>
          <w:numId w:val="5"/>
        </w:numPr>
        <w:spacing w:after="80"/>
      </w:pPr>
      <w:r>
        <w:rPr>
          <w:rFonts w:ascii="Arial" w:cs="Arial" w:eastAsia="Arial" w:hAnsi="Arial"/>
          <w:b/>
          <w:bCs/>
          <w:sz w:val="22"/>
          <w:szCs w:val="22"/>
        </w:rPr>
        <w:t xml:space="preserve">APEX BidMatch: </w:t>
      </w:r>
      <w:r>
        <w:rPr>
          <w:rFonts w:ascii="Arial" w:cs="Arial" w:eastAsia="Arial" w:hAnsi="Arial"/>
          <w:sz w:val="22"/>
          <w:szCs w:val="22"/>
        </w:rPr>
        <w:t xml:space="preserve">Review the BidMatch service at washingtonapexaccelerator.org. Passive alert layer that surfaces relevant opportunities across all markets you might otherwise miss.</w:t>
      </w:r>
    </w:p>
    <w:p>
      <w:pPr>
        <w:spacing w:after="200"/>
      </w:pPr>
    </w:p>
    <w:p>
      <w:r>
        <w:br w:type="page"/>
      </w:r>
    </w:p>
    <w:p>
      <w:pPr>
        <w:spacing w:after="240" w:before="360"/>
      </w:pPr>
      <w:r>
        <w:rPr>
          <w:rFonts w:ascii="Arial" w:cs="Arial" w:eastAsia="Arial" w:hAnsi="Arial"/>
          <w:b/>
          <w:bCs/>
          <w:color w:val="1B3A6B"/>
          <w:sz w:val="36"/>
          <w:szCs w:val="36"/>
        </w:rPr>
        <w:t xml:space="preserve">Report Synopsis</w:t>
      </w:r>
    </w:p>
    <w:p>
      <w:pPr>
        <w:spacing w:after="120"/>
      </w:pPr>
      <w:r>
        <w:rPr>
          <w:rFonts w:ascii="Arial" w:cs="Arial" w:eastAsia="Arial" w:hAnsi="Arial"/>
          <w:sz w:val="22"/>
          <w:szCs w:val="22"/>
        </w:rPr>
        <w:t xml:space="preserve">The following summary is for advisor review and revision into a client-facing narrative.</w:t>
      </w:r>
    </w:p>
    <w:p>
      <w:pPr>
        <w:spacing w:after="200"/>
      </w:pPr>
    </w:p>
    <w:p>
      <w:pPr>
        <w:spacing w:after="180" w:before="280"/>
      </w:pPr>
      <w:r>
        <w:rPr>
          <w:rFonts w:ascii="Arial" w:cs="Arial" w:eastAsia="Arial" w:hAnsi="Arial"/>
          <w:b/>
          <w:bCs/>
          <w:color w:val="2E6DA4"/>
          <w:sz w:val="28"/>
          <w:szCs w:val="28"/>
        </w:rPr>
        <w:t xml:space="preserve">Key Takeaways</w:t>
      </w:r>
    </w:p>
    <w:p>
      <w:pPr>
        <w:pStyle w:val="ListParagraph"/>
        <w:numPr>
          <w:ilvl w:val="0"/>
          <w:numId w:val="5"/>
        </w:numPr>
        <w:spacing w:after="80"/>
      </w:pPr>
      <w:r>
        <w:rPr>
          <w:rFonts w:ascii="Arial" w:cs="Arial" w:eastAsia="Arial" w:hAnsi="Arial"/>
          <w:b/>
          <w:bCs/>
          <w:sz w:val="22"/>
          <w:szCs w:val="22"/>
        </w:rPr>
        <w:t xml:space="preserve">Strong local HVAC market: </w:t>
      </w:r>
      <w:r>
        <w:rPr>
          <w:rFonts w:ascii="Arial" w:cs="Arial" w:eastAsia="Arial" w:hAnsi="Arial"/>
          <w:sz w:val="22"/>
          <w:szCs w:val="22"/>
        </w:rPr>
        <w:t xml:space="preserve">The Snohomish/Skagit/Whatcom area shows active, recurring HVAC procurement across library districts, cities, counties, and school districts, with high volumes of sub-threshold transactions accessible to a new vendor without formal competitive bidding.</w:t>
      </w:r>
    </w:p>
    <w:p>
      <w:pPr>
        <w:pStyle w:val="ListParagraph"/>
        <w:numPr>
          <w:ilvl w:val="0"/>
          <w:numId w:val="5"/>
        </w:numPr>
        <w:spacing w:after="80"/>
      </w:pPr>
      <w:r>
        <w:rPr>
          <w:rFonts w:ascii="Arial" w:cs="Arial" w:eastAsia="Arial" w:hAnsi="Arial"/>
          <w:b/>
          <w:bCs/>
          <w:sz w:val="22"/>
          <w:szCs w:val="22"/>
        </w:rPr>
        <w:t xml:space="preserve">Past-performance gap is the primary barrier: </w:t>
      </w:r>
      <w:r>
        <w:rPr>
          <w:rFonts w:ascii="Arial" w:cs="Arial" w:eastAsia="Arial" w:hAnsi="Arial"/>
          <w:sz w:val="22"/>
          <w:szCs w:val="22"/>
        </w:rPr>
        <w:t xml:space="preserve">As an established company new to government, the biggest competitive vulnerability is the absence of government past performance. Documenting analogous commercial work and securing initial small-dollar government awards through micro-purchase channels is the fastest path to closing this gap.</w:t>
      </w:r>
    </w:p>
    <w:p>
      <w:pPr>
        <w:pStyle w:val="ListParagraph"/>
        <w:numPr>
          <w:ilvl w:val="0"/>
          <w:numId w:val="5"/>
        </w:numPr>
        <w:spacing w:after="80"/>
      </w:pPr>
      <w:r>
        <w:rPr>
          <w:rFonts w:ascii="Arial" w:cs="Arial" w:eastAsia="Arial" w:hAnsi="Arial"/>
          <w:b/>
          <w:bCs/>
          <w:sz w:val="22"/>
          <w:szCs w:val="22"/>
        </w:rPr>
        <w:t xml:space="preserve">Web presence and professional email are prerequisites: </w:t>
      </w:r>
      <w:r>
        <w:rPr>
          <w:rFonts w:ascii="Arial" w:cs="Arial" w:eastAsia="Arial" w:hAnsi="Arial"/>
          <w:sz w:val="22"/>
          <w:szCs w:val="22"/>
        </w:rPr>
        <w:t xml:space="preserve">No website and a potential free-provider email address are credibility risks that should be addressed before outreach to any government buyer.</w:t>
      </w:r>
    </w:p>
    <w:p>
      <w:pPr>
        <w:pStyle w:val="ListParagraph"/>
        <w:numPr>
          <w:ilvl w:val="0"/>
          <w:numId w:val="5"/>
        </w:numPr>
        <w:spacing w:after="80"/>
      </w:pPr>
      <w:r>
        <w:rPr>
          <w:rFonts w:ascii="Arial" w:cs="Arial" w:eastAsia="Arial" w:hAnsi="Arial"/>
          <w:b/>
          <w:bCs/>
          <w:sz w:val="22"/>
          <w:szCs w:val="22"/>
        </w:rPr>
        <w:t xml:space="preserve">Public works compliance adds cost and complexity: </w:t>
      </w:r>
      <w:r>
        <w:rPr>
          <w:rFonts w:ascii="Arial" w:cs="Arial" w:eastAsia="Arial" w:hAnsi="Arial"/>
          <w:sz w:val="22"/>
          <w:szCs w:val="22"/>
        </w:rPr>
        <w:t xml:space="preserve">HVAC work on public facilities triggers prevailing wage, certified payroll, L&amp;I registration, and bonding requirements. These are real costs that must be factored into bid pricing and business readiness.</w:t>
      </w:r>
    </w:p>
    <w:p>
      <w:pPr>
        <w:pStyle w:val="ListParagraph"/>
        <w:numPr>
          <w:ilvl w:val="0"/>
          <w:numId w:val="5"/>
        </w:numPr>
        <w:spacing w:after="80"/>
      </w:pPr>
      <w:r>
        <w:rPr>
          <w:rFonts w:ascii="Arial" w:cs="Arial" w:eastAsia="Arial" w:hAnsi="Arial"/>
          <w:b/>
          <w:bCs/>
          <w:sz w:val="22"/>
          <w:szCs w:val="22"/>
        </w:rPr>
        <w:t xml:space="preserve">Federal is a horizon goal: </w:t>
      </w:r>
      <w:r>
        <w:rPr>
          <w:rFonts w:ascii="Arial" w:cs="Arial" w:eastAsia="Arial" w:hAnsi="Arial"/>
          <w:sz w:val="22"/>
          <w:szCs w:val="22"/>
        </w:rPr>
        <w:t xml:space="preserve">Without a qualifying set-aside certification, federal contracting is realistically a Year 2–3 objective. SAM.gov registration should be completed now as a foundation step, but near-term energy should focus on building local and state track record. Navy (NAVFAC Northwest) is the dominant federal buyer in the service area, but CMMC compliance adds a significant barrier to DoD work.</w:t>
      </w:r>
    </w:p>
    <w:p>
      <w:pPr>
        <w:spacing w:after="200"/>
      </w:pPr>
    </w:p>
    <w:p>
      <w:pPr>
        <w:spacing w:after="180" w:before="280"/>
      </w:pPr>
      <w:r>
        <w:rPr>
          <w:rFonts w:ascii="Arial" w:cs="Arial" w:eastAsia="Arial" w:hAnsi="Arial"/>
          <w:b/>
          <w:bCs/>
          <w:color w:val="2E6DA4"/>
          <w:sz w:val="28"/>
          <w:szCs w:val="28"/>
        </w:rPr>
        <w:t xml:space="preserve">Recommended Next Steps</w:t>
      </w:r>
    </w:p>
    <w:p>
      <w:pPr>
        <w:pStyle w:val="ListParagraph"/>
        <w:numPr>
          <w:ilvl w:val="0"/>
          <w:numId w:val="5"/>
        </w:numPr>
        <w:spacing w:after="80"/>
      </w:pPr>
      <w:r>
        <w:rPr>
          <w:rFonts w:ascii="Arial" w:cs="Arial" w:eastAsia="Arial" w:hAnsi="Arial"/>
          <w:b/>
          <w:bCs/>
          <w:sz w:val="22"/>
          <w:szCs w:val="22"/>
        </w:rPr>
        <w:t xml:space="preserve">Establish web presence and domain-based email </w:t>
      </w:r>
      <w:r>
        <w:rPr>
          <w:rFonts w:ascii="Arial" w:cs="Arial" w:eastAsia="Arial" w:hAnsi="Arial"/>
          <w:sz w:val="22"/>
          <w:szCs w:val="22"/>
        </w:rPr>
        <w:t xml:space="preserve">before any agency outreach. A one-page professional site with services, capabilities, and contact information is sufficient.</w:t>
      </w:r>
    </w:p>
    <w:p>
      <w:pPr>
        <w:pStyle w:val="ListParagraph"/>
        <w:numPr>
          <w:ilvl w:val="0"/>
          <w:numId w:val="5"/>
        </w:numPr>
        <w:spacing w:after="80"/>
      </w:pPr>
      <w:r>
        <w:rPr>
          <w:rFonts w:ascii="Arial" w:cs="Arial" w:eastAsia="Arial" w:hAnsi="Arial"/>
          <w:b/>
          <w:bCs/>
          <w:sz w:val="22"/>
          <w:szCs w:val="22"/>
        </w:rPr>
        <w:t xml:space="preserve">Complete WEBS registration and begin direct vendor registration </w:t>
      </w:r>
      <w:r>
        <w:rPr>
          <w:rFonts w:ascii="Arial" w:cs="Arial" w:eastAsia="Arial" w:hAnsi="Arial"/>
          <w:sz w:val="22"/>
          <w:szCs w:val="22"/>
        </w:rPr>
        <w:t xml:space="preserve">with Sno-Isle Libraries, City of Bellingham, and County of Whatcom. These are the highest-priority local targets with demonstrated HVAC spend and accessible micro-purchase entry points.</w:t>
      </w:r>
    </w:p>
    <w:p>
      <w:pPr>
        <w:pStyle w:val="ListParagraph"/>
        <w:numPr>
          <w:ilvl w:val="0"/>
          <w:numId w:val="5"/>
        </w:numPr>
        <w:spacing w:after="80"/>
      </w:pPr>
      <w:r>
        <w:rPr>
          <w:rFonts w:ascii="Arial" w:cs="Arial" w:eastAsia="Arial" w:hAnsi="Arial"/>
          <w:b/>
          <w:bCs/>
          <w:sz w:val="22"/>
          <w:szCs w:val="22"/>
        </w:rPr>
        <w:t xml:space="preserve">Begin SAM.gov registration </w:t>
      </w:r>
      <w:r>
        <w:rPr>
          <w:rFonts w:ascii="Arial" w:cs="Arial" w:eastAsia="Arial" w:hAnsi="Arial"/>
          <w:sz w:val="22"/>
          <w:szCs w:val="22"/>
        </w:rPr>
        <w:t xml:space="preserve">to establish the federal foundation. This process can take several weeks; starting now positions you for federal opportunities as your government past performance develops.</w:t>
      </w:r>
    </w:p>
    <w:p>
      <w:pPr>
        <w:spacing w:after="200"/>
      </w:pPr>
    </w:p>
    <w:p>
      <w:pPr>
        <w:spacing w:after="120"/>
      </w:pPr>
      <w:r>
        <w:rPr>
          <w:rFonts w:ascii="Arial" w:cs="Arial" w:eastAsia="Arial" w:hAnsi="Arial"/>
          <w:b/>
          <w:bCs/>
          <w:color w:val="1B3A6B"/>
          <w:sz w:val="22"/>
          <w:szCs w:val="22"/>
        </w:rPr>
        <w:t xml:space="preserve">Washington APEX Accelerator</w:t>
      </w:r>
    </w:p>
    <w:p>
      <w:pPr>
        <w:spacing w:after="120"/>
      </w:pPr>
      <w:r>
        <w:rPr>
          <w:rFonts w:ascii="Arial" w:cs="Arial" w:eastAsia="Arial" w:hAnsi="Arial"/>
          <w:color w:val="2E6DA4"/>
          <w:sz w:val="22"/>
          <w:szCs w:val="22"/>
        </w:rPr>
        <w:t xml:space="preserve">washingtonapexaccelerator.org</w:t>
      </w:r>
    </w:p>
    <w:p>
      <w:pPr>
        <w:spacing w:after="120"/>
      </w:pPr>
      <w:r>
        <w:rPr>
          <w:rFonts w:ascii="Arial" w:cs="Arial" w:eastAsia="Arial" w:hAnsi="Arial"/>
          <w:i/>
          <w:iCs/>
          <w:color w:val="666666"/>
          <w:sz w:val="20"/>
          <w:szCs w:val="20"/>
        </w:rPr>
        <w:t xml:space="preserve">Funded in part through a cooperative agreement with the Department of Defense.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space="1"/>
      </w:pBdr>
      <w:jc w:val="center"/>
    </w:pPr>
    <w:r>
      <w:rPr>
        <w:rFonts w:ascii="Arial" w:cs="Arial" w:eastAsia="Arial" w:hAnsi="Arial"/>
        <w:color w:val="999999"/>
        <w:sz w:val="16"/>
        <w:szCs w:val="16"/>
      </w:rPr>
      <w:t xml:space="preserve">Washington APEX Accelerator  •  washingtonapexaccelerator.org  •  Page </w:t>
    </w:r>
    <w:r>
      <w:rPr>
        <w:rFonts w:ascii="Arial" w:cs="Arial" w:eastAsia="Arial" w:hAnsi="Arial"/>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6DA4" w:sz="6" w:space="1"/>
      </w:pBdr>
      <w:spacing w:after="0"/>
    </w:pPr>
    <w:r>
      <w:rPr>
        <w:rFonts w:ascii="Arial" w:cs="Arial" w:eastAsia="Arial" w:hAnsi="Arial"/>
        <w:color w:val="2E6DA4"/>
        <w:sz w:val="18"/>
        <w:szCs w:val="18"/>
      </w:rPr>
      <w:t xml:space="preserve">Johnson’s HVAC — Government Contracting Client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bullet"/>
      <w:lvlText w:val="•"/>
      <w:lvlJc w:val="left"/>
      <w:pPr>
        <w:ind w:left="720" w:hanging="360"/>
      </w:pPr>
    </w:lvl>
  </w:abstractNum>
  <w:abstractNum w:abstractNumId="4" w15:restartNumberingAfterBreak="0">
    <w:multiLevelType w:val="hybridMultilevel"/>
    <w:lvl w:ilvl="0" w15:tentative="1">
      <w:start w:val="1"/>
      <w:numFmt w:val="bullet"/>
      <w:lvlText w:val="•"/>
      <w:lvlJc w:val="left"/>
      <w:pPr>
        <w:ind w:left="720" w:hanging="360"/>
      </w:pPr>
    </w:lvl>
  </w:abstractNum>
  <w:abstractNum w:abstractNumId="5" w15:restartNumberingAfterBreak="0">
    <w:multiLevelType w:val="hybridMultilevel"/>
    <w:lvl w:ilvl="0" w15:tentative="1">
      <w:start w:val="1"/>
      <w:numFmt w:val="bullet"/>
      <w:lvlText w:val="•"/>
      <w:lvlJc w:val="left"/>
      <w:pPr>
        <w:ind w:left="720" w:hanging="360"/>
      </w:pPr>
    </w:lvl>
  </w:abstractNum>
  <w:abstractNum w:abstractNumId="6" w15:restartNumberingAfterBreak="0">
    <w:multiLevelType w:val="hybridMultilevel"/>
    <w:lvl w:ilvl="0" w15:tentative="1">
      <w:start w:val="1"/>
      <w:numFmt w:val="bullet"/>
      <w:lvlText w:val="•"/>
      <w:lvlJc w:val="left"/>
      <w:pPr>
        <w:ind w:left="720" w:hanging="360"/>
      </w:pPr>
    </w:lvl>
  </w:abstractNum>
  <w:abstractNum w:abstractNumId="7"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2026-06-24T19:53:00.879Z</dcterms:created>
  <dcterms:modified xsi:type="dcterms:W3CDTF">2026-06-24T19:53:00.880Z</dcterms:modified>
</cp:coreProperties>
</file>

<file path=docProps/custom.xml><?xml version="1.0" encoding="utf-8"?>
<Properties xmlns="http://schemas.openxmlformats.org/officeDocument/2006/custom-properties" xmlns:vt="http://schemas.openxmlformats.org/officeDocument/2006/docPropsVTypes"/>
</file>