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F4E79"/>
          <w:sz w:val="48"/>
          <w:szCs w:val="48"/>
        </w:rPr>
        <w:t xml:space="preserve">[Company Name]</w:t>
      </w:r>
    </w:p>
    <w:p>
      <w:pPr>
        <w:spacing w:after="40"/>
        <w:jc w:val="center"/>
      </w:pPr>
      <w:r>
        <w:rPr>
          <w:color w:val="2E75B6"/>
          <w:sz w:val="28"/>
          <w:szCs w:val="28"/>
        </w:rPr>
        <w:t xml:space="preserve">Market Entry Briefing: Snohomish County Public Works</w:t>
      </w:r>
    </w:p>
    <w:p>
      <w:pPr>
        <w:spacing w:after="200"/>
        <w:jc w:val="center"/>
      </w:pPr>
      <w:r>
        <w:rPr>
          <w:color w:val="666666"/>
          <w:sz w:val="20"/>
          <w:szCs w:val="20"/>
        </w:rPr>
        <w:t xml:space="preserve">Prepared by [Advisor]  |  [Date]</w:t>
      </w:r>
    </w:p>
    <w:p>
      <w:pPr>
        <w:pBdr>
          <w:bottom w:val="single" w:color="CCCCCC" w:sz="6"/>
        </w:pBdr>
        <w:spacing w:after="200"/>
      </w:pPr>
    </w:p>
    <w:p>
      <w:pPr>
        <w:pStyle w:val="Heading1"/>
        <w:shd w:fill="1F4E79" w:val="clear"/>
        <w:spacing w:after="200" w:before="360"/>
      </w:pPr>
      <w:r>
        <w:rPr>
          <w:b/>
          <w:bCs/>
          <w:color w:val="FFFFFF"/>
          <w:sz w:val="28"/>
          <w:szCs w:val="28"/>
        </w:rPr>
        <w:t xml:space="preserve">1.  The Current Situation</w:t>
      </w:r>
    </w:p>
    <w:p>
      <w:pPr>
        <w:spacing w:after="120" w:before="120"/>
      </w:pPr>
      <w:r>
        <w:t xml:space="preserve">Snohomish County Public Works manages roughly 1,600 lane-miles of roads, 190 bridges, three regional airports, and an extensive surface water management system. The department operates with a mix of internal staff and contracted services for capital project delivery, facility management, and infrastructure planning.</w:t>
      </w:r>
    </w:p>
    <w:p>
      <w:pPr>
        <w:spacing w:after="120" w:before="120"/>
      </w:pPr>
      <w:r>
        <w:t xml:space="preserve">The county currently contracts project management support through a combination of large regional engineering firms and individual on-call consultants. Recent procurement records show approximately $2.4 million in annual spend on construction management, project controls, and inspection services across multiple task-order contracts.</w:t>
      </w:r>
    </w:p>
    <w:p>
      <w:pPr>
        <w:spacing w:after="120" w:before="120"/>
      </w:pPr>
      <w:r>
        <w:rPr>
          <w:b/>
          <w:bCs/>
        </w:rPr>
        <w:t xml:space="preserve">What the county's current vendors provide:</w:t>
      </w:r>
      <w:r>
        <w:t xml:space="preserve"/>
      </w:r>
    </w:p>
    <w:p>
      <w:pPr>
        <w:spacing w:after="60" w:before="60"/>
        <w:ind w:left="720"/>
      </w:pPr>
      <w:r>
        <w:t xml:space="preserve">•  </w:t>
      </w:r>
      <w:r>
        <w:t xml:space="preserve">Construction management and inspection on active capital projects</w:t>
      </w:r>
    </w:p>
    <w:p>
      <w:pPr>
        <w:spacing w:after="60" w:before="60"/>
        <w:ind w:left="720"/>
      </w:pPr>
      <w:r>
        <w:t xml:space="preserve">•  </w:t>
      </w:r>
      <w:r>
        <w:t xml:space="preserve">Environmental compliance and permitting coordination</w:t>
      </w:r>
    </w:p>
    <w:p>
      <w:pPr>
        <w:spacing w:after="60" w:before="60"/>
        <w:ind w:left="720"/>
      </w:pPr>
      <w:r>
        <w:t xml:space="preserve">•  </w:t>
      </w:r>
      <w:r>
        <w:t xml:space="preserve">Traffic engineering and signal design</w:t>
      </w:r>
    </w:p>
    <w:p>
      <w:pPr>
        <w:spacing w:after="120" w:before="120"/>
      </w:pPr>
      <w:r>
        <w:rPr>
          <w:b/>
          <w:bCs/>
        </w:rPr>
        <w:t xml:space="preserve">What the county does not currently procure:</w:t>
      </w:r>
      <w:r>
        <w:t xml:space="preserve"/>
      </w:r>
    </w:p>
    <w:p>
      <w:pPr>
        <w:spacing w:after="60" w:before="60"/>
        <w:ind w:left="720"/>
      </w:pPr>
      <w:r>
        <w:t xml:space="preserve">•  </w:t>
      </w:r>
      <w:r>
        <w:t xml:space="preserve">Dedicated owner's-representative services for multi-year capital programs</w:t>
      </w:r>
    </w:p>
    <w:p>
      <w:pPr>
        <w:spacing w:after="60" w:before="60"/>
        <w:ind w:left="720"/>
      </w:pPr>
      <w:r>
        <w:t xml:space="preserve">•  </w:t>
      </w:r>
      <w:r>
        <w:t xml:space="preserve">Portfolio-level project controls, scheduling, and risk management</w:t>
      </w:r>
    </w:p>
    <w:p>
      <w:pPr>
        <w:spacing w:after="60" w:before="60"/>
        <w:ind w:left="720"/>
      </w:pPr>
      <w:r>
        <w:t xml:space="preserve">•  </w:t>
      </w:r>
      <w:r>
        <w:t xml:space="preserve">Post-construction performance measurement or lessons-learned programs</w:t>
      </w:r>
    </w:p>
    <w:p>
      <w:pPr>
        <w:spacing w:after="120" w:before="120"/>
      </w:pPr>
      <w:r>
        <w:t xml:space="preserve">The gap is structural: the county buys project-by-project execution support but has no single provider accountable for cross-project coordination, schedule adherence, or program-level reporting. As the capital program grows, this gap becomes more expensive.</w:t>
      </w:r>
    </w:p>
    <w:tbl>
      <w:tblPr>
        <w:tblW w:type="dxa" w:w="9360"/>
        <w:tblBorders>
          <w:top w:val="single" w:color="2E75B6" w:sz="6"/>
          <w:left w:val="single" w:color="2E75B6" w:sz="18"/>
          <w:bottom w:val="single" w:color="2E75B6" w:sz="6"/>
          <w:right w:val="none" w:color="FFFFFF" w:sz="0"/>
          <w:insideH w:val="single" w:color="auto" w:sz="4"/>
          <w:insideV w:val="single" w:color="auto" w:sz="4"/>
        </w:tblBorders>
      </w:tblPr>
      <w:tblGrid>
        <w:gridCol w:w="100"/>
      </w:tblGrid>
      <w:tr>
        <w:tc>
          <w:tcPr>
            <w:tcW w:type="dxa" w:w="9360"/>
            <w:shd w:fill="D6E4F0" w:val="clear"/>
            <w:tcMar>
              <w:top w:type="dxa" w:w="100"/>
              <w:left w:type="dxa" w:w="160"/>
              <w:bottom w:type="dxa" w:w="100"/>
              <w:right w:type="dxa" w:w="160"/>
            </w:tcMar>
          </w:tcPr>
          <w:p>
            <w:r>
              <w:rPr>
                <w:b/>
                <w:bCs/>
                <w:color w:val="1F4E79"/>
              </w:rPr>
              <w:t xml:space="preserve">The Key Message</w:t>
            </w:r>
          </w:p>
          <w:p>
            <w:r>
              <w:t xml:space="preserve">[Company Name] does not replace the county's existing engineering consultants. It adds a layer of coordination and accountability that makes every project dollar go further by catching schedule slips, scope conflicts, and resource bottlenecks before they become change orders.</w:t>
            </w:r>
          </w:p>
        </w:tc>
      </w:tr>
    </w:tbl>
    <w:p>
      <w:pPr>
        <w:pStyle w:val="Heading1"/>
        <w:shd w:fill="1F4E79" w:val="clear"/>
        <w:spacing w:after="200" w:before="360"/>
      </w:pPr>
      <w:r>
        <w:rPr>
          <w:b/>
          <w:bCs/>
          <w:color w:val="FFFFFF"/>
          <w:sz w:val="28"/>
          <w:szCs w:val="28"/>
        </w:rPr>
        <w:t xml:space="preserve">2.  Why the County Should Care</w:t>
      </w:r>
    </w:p>
    <w:p>
      <w:pPr>
        <w:spacing w:after="120" w:before="120"/>
      </w:pPr>
      <w:r>
        <w:t xml:space="preserve">This is a cost-control argument. Infrastructure agencies that add dedicated program management to their capital delivery pipelines consistently report 8-15% reductions in change-order costs and measurable improvements in on-time project delivery. The question is not whether program management adds value; it is whether the county can afford not to have it as its capital program scales.</w:t>
      </w:r>
    </w:p>
    <w:p>
      <w:pPr>
        <w:spacing w:after="120" w:before="120"/>
      </w:pPr>
      <w:r>
        <w:rPr>
          <w:b/>
          <w:bCs/>
        </w:rPr>
        <w:t xml:space="preserve">The Regional Infrastructure Context</w:t>
      </w:r>
      <w:r>
        <w:t xml:space="preserve"/>
      </w:r>
    </w:p>
    <w:p>
      <w:pPr>
        <w:spacing w:after="60" w:before="60"/>
        <w:ind w:left="720"/>
      </w:pPr>
      <w:r>
        <w:t xml:space="preserve">•  </w:t>
      </w:r>
      <w:r>
        <w:t xml:space="preserve">Counties across the Puget Sound region are scaling capital programs to address deferred maintenance and federally funded improvements</w:t>
      </w:r>
    </w:p>
    <w:p>
      <w:pPr>
        <w:spacing w:after="60" w:before="60"/>
        <w:ind w:left="720"/>
      </w:pPr>
      <w:r>
        <w:t xml:space="preserve">•  </w:t>
      </w:r>
      <w:r>
        <w:t xml:space="preserve">King County and Pierce County both contract dedicated program management offices (PMOs) for capital delivery, spending $3-5 million annually on program-level oversight</w:t>
      </w:r>
    </w:p>
    <w:p>
      <w:pPr>
        <w:spacing w:after="60" w:before="60"/>
        <w:ind w:left="720"/>
      </w:pPr>
      <w:r>
        <w:t xml:space="preserve">•  </w:t>
      </w:r>
      <w:r>
        <w:t xml:space="preserve">Snohomish County's capital improvement plan has grown by roughly 40% over five years, but staffing has not kept pace</w:t>
      </w:r>
    </w:p>
    <w:p>
      <w:pPr>
        <w:spacing w:after="120" w:before="120"/>
      </w:pPr>
      <w:r>
        <w:rPr>
          <w:b/>
          <w:bCs/>
        </w:rPr>
        <w:t xml:space="preserve">The County's Current Spend Signal</w:t>
      </w:r>
      <w:r>
        <w:t xml:space="preserve"/>
      </w:r>
    </w:p>
    <w:p>
      <w:pPr>
        <w:spacing w:after="60" w:before="60"/>
        <w:ind w:left="720"/>
      </w:pPr>
      <w:r>
        <w:t xml:space="preserve">•  </w:t>
      </w:r>
      <w:r>
        <w:t xml:space="preserve">The county spends approximately $2.4 million annually on project-level consulting, predominantly through task-order contracts with engineering firms</w:t>
      </w:r>
    </w:p>
    <w:p>
      <w:pPr>
        <w:spacing w:after="60" w:before="60"/>
        <w:ind w:left="720"/>
      </w:pPr>
      <w:r>
        <w:t xml:space="preserve">•  </w:t>
      </w:r>
      <w:r>
        <w:t xml:space="preserve">Multiple task orders for overlapping scopes suggest coordination gaps between vendors</w:t>
      </w:r>
    </w:p>
    <w:p>
      <w:pPr>
        <w:spacing w:after="60" w:before="60"/>
        <w:ind w:left="720"/>
      </w:pPr>
      <w:r>
        <w:t xml:space="preserve">•  </w:t>
      </w:r>
      <w:r>
        <w:t xml:space="preserve">No single contract covers portfolio-level scheduling, risk tracking, or cross-project resource management</w:t>
      </w:r>
    </w:p>
    <w:p>
      <w:pPr>
        <w:spacing w:after="120" w:before="120"/>
      </w:pPr>
      <w:r>
        <w:rPr>
          <w:b/>
          <w:bCs/>
        </w:rPr>
        <w:t xml:space="preserve">What Peer Agencies Are Doing</w:t>
      </w:r>
      <w:r>
        <w:t xml:space="preserve"/>
      </w:r>
    </w:p>
    <w:p>
      <w:pPr>
        <w:spacing w:after="60" w:before="60"/>
        <w:ind w:left="720"/>
      </w:pPr>
      <w:r>
        <w:t xml:space="preserve">•  </w:t>
      </w:r>
      <w:r>
        <w:t xml:space="preserve">A neighboring county of comparable size contracts a dedicated PMO at roughly $1.2 million per year and reports a 12% reduction in change-order costs</w:t>
      </w:r>
    </w:p>
    <w:p>
      <w:pPr>
        <w:spacing w:after="60" w:before="60"/>
        <w:ind w:left="720"/>
      </w:pPr>
      <w:r>
        <w:t xml:space="preserve">•  </w:t>
      </w:r>
      <w:r>
        <w:t xml:space="preserve">A regional transit authority uses an owner's-representative model for all capital projects over $10 million</w:t>
      </w:r>
    </w:p>
    <w:p>
      <w:pPr>
        <w:spacing w:after="60" w:before="60"/>
        <w:ind w:left="720"/>
      </w:pPr>
      <w:r>
        <w:t xml:space="preserve">•  </w:t>
      </w:r>
      <w:r>
        <w:t xml:space="preserve">The county is currently the only comparable-size jurisdiction in the region delivering a growing capital program without dedicated program management support</w:t>
      </w:r>
    </w:p>
    <w:tbl>
      <w:tblPr>
        <w:tblW w:type="dxa" w:w="9360"/>
        <w:tblBorders>
          <w:top w:val="single" w:color="2E75B6" w:sz="6"/>
          <w:left w:val="single" w:color="2E75B6" w:sz="18"/>
          <w:bottom w:val="single" w:color="2E75B6" w:sz="6"/>
          <w:right w:val="none" w:color="FFFFFF" w:sz="0"/>
          <w:insideH w:val="single" w:color="auto" w:sz="4"/>
          <w:insideV w:val="single" w:color="auto" w:sz="4"/>
        </w:tblBorders>
      </w:tblPr>
      <w:tblGrid>
        <w:gridCol w:w="100"/>
      </w:tblGrid>
      <w:tr>
        <w:tc>
          <w:tcPr>
            <w:tcW w:type="dxa" w:w="9360"/>
            <w:shd w:fill="D6E4F0" w:val="clear"/>
            <w:tcMar>
              <w:top w:type="dxa" w:w="100"/>
              <w:left w:type="dxa" w:w="160"/>
              <w:bottom w:type="dxa" w:w="100"/>
              <w:right w:type="dxa" w:w="160"/>
            </w:tcMar>
          </w:tcPr>
          <w:p>
            <w:r>
              <w:rPr>
                <w:b/>
                <w:bCs/>
                <w:color w:val="1F4E79"/>
              </w:rPr>
              <w:t xml:space="preserve">Your Job Before Any Meeting</w:t>
            </w:r>
          </w:p>
          <w:p>
            <w:r>
              <w:t xml:space="preserve">Build the ROI case using publicly available data. What is the county's average change-order rate on capital projects over $1 million? What does a one-month schedule slip cost on a typical road or bridge project? If you can show that program management pays for itself on the first avoided overrun, the conversation shifts from cost to investment.</w:t>
            </w:r>
          </w:p>
        </w:tc>
      </w:tr>
    </w:tbl>
    <w:p>
      <w:pPr>
        <w:pStyle w:val="Heading1"/>
        <w:shd w:fill="1F4E79" w:val="clear"/>
        <w:spacing w:after="200" w:before="360"/>
      </w:pPr>
      <w:r>
        <w:rPr>
          <w:b/>
          <w:bCs/>
          <w:color w:val="FFFFFF"/>
          <w:sz w:val="28"/>
          <w:szCs w:val="28"/>
        </w:rPr>
        <w:t xml:space="preserve">3.  Who to Talk To and In What Order</w:t>
      </w:r>
    </w:p>
    <w:p>
      <w:pPr>
        <w:spacing w:after="120" w:before="120"/>
      </w:pPr>
      <w:r>
        <w:t xml:space="preserve">Do not lead with a sales pitch. Lead with a problem statement and a question: 'We work with public agencies on capital program delivery. We have been seeing growing coordination challenges as capital programs scale without additional oversight capacity. Is that something your team is experiencing?' Listen more than you talk in the first conversation.</w:t>
      </w:r>
    </w:p>
    <w:p>
      <w:pPr>
        <w:spacing w:after="120" w:before="120"/>
      </w:pPr>
      <w:r>
        <w:rPr>
          <w:b/>
          <w:bCs/>
        </w:rPr>
        <w:t xml:space="preserve">Contact Map</w:t>
      </w: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1800"/>
        <w:gridCol w:w="35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b/>
                <w:bCs/>
                <w:color w:val="FFFFFF"/>
                <w:sz w:val="20"/>
                <w:szCs w:val="20"/>
              </w:rPr>
              <w:t xml:space="preserve">Contact</w:t>
            </w:r>
          </w:p>
        </w:tc>
        <w:tc>
          <w:tcPr>
            <w:tcW w:type="dxa" w:w="1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b/>
                <w:bCs/>
                <w:color w:val="FFFFFF"/>
                <w:sz w:val="20"/>
                <w:szCs w:val="20"/>
              </w:rPr>
              <w:t xml:space="preserve">Role</w:t>
            </w:r>
          </w:p>
        </w:tc>
        <w:tc>
          <w:tcPr>
            <w:tcW w:type="dxa" w:w="18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b/>
                <w:bCs/>
                <w:color w:val="FFFFFF"/>
                <w:sz w:val="20"/>
                <w:szCs w:val="20"/>
              </w:rPr>
              <w:t xml:space="preserve">Contact Info</w:t>
            </w:r>
          </w:p>
        </w:tc>
        <w:tc>
          <w:tcPr>
            <w:tcW w:type="dxa" w:w="35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b/>
                <w:bCs/>
                <w:color w:val="FFFFFF"/>
                <w:sz w:val="20"/>
                <w:szCs w:val="20"/>
              </w:rPr>
              <w:t xml:space="preserve">Why They Matter</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[Public Works Director]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Department Director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[Via county directory]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Owns the capital program and reports to the County Executive on delivery performance. This is the decision-maker, but not the first conversation. Approach after you have a champion in engineering or capital delivery.</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[Capital Projects Manager]</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Engineering / Capital Delivery</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[Via county directory]</w:t>
            </w:r>
          </w:p>
        </w:tc>
        <w:tc>
          <w:tcPr>
            <w:tcW w:type="dxa" w:w="3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First stop. This person lives inside the coordination problem daily. If they validate that cross-project oversight is a gap, everything else moves. Ask about schedule variance, vendor coordination pain points, and reporting burden.</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[County Engineer]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Engineering Division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[Via county directory]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Technical authority on project delivery standards. Their endorsement signals credibility to the Director. Approach after the Capital Projects Manager conversation confirms the gap.</w:t>
            </w:r>
          </w:p>
        </w:tc>
      </w:tr>
      <w:tr>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[Budget &amp; Finance Director]</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Finance / Budget</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[Via county directory]</w:t>
            </w:r>
          </w:p>
        </w:tc>
        <w:tc>
          <w:tcPr>
            <w:tcW w:type="dxa" w:w="3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sz w:val="20"/>
                <w:szCs w:val="20"/>
              </w:rPr>
              <w:t xml:space="preserve">Controls budget allocation for consulting services. Once Public Works leadership is interested, Finance needs to see the cost-avoidance case. Bring the ROI one-pager to this meeting.</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[Procurement Manager]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Purchasing / Contracts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[Via county directory]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sz w:val="20"/>
                <w:szCs w:val="20"/>
              </w:rPr>
              <w:t xml:space="preserve">Determines the contract vehicle. Do not approach until a budget path is identified. Ask about existing on-call contract structures and whether a new scope can be added to an existing vehicle.</w:t>
            </w:r>
          </w:p>
        </w:tc>
      </w:tr>
    </w:tbl>
    <w:p>
      <w:pPr>
        <w:pStyle w:val="Heading1"/>
        <w:shd w:fill="1F4E79" w:val="clear"/>
        <w:spacing w:after="200" w:before="360"/>
      </w:pPr>
      <w:r>
        <w:rPr>
          <w:b/>
          <w:bCs/>
          <w:color w:val="FFFFFF"/>
          <w:sz w:val="28"/>
          <w:szCs w:val="28"/>
        </w:rPr>
        <w:t xml:space="preserve">4.  What to Bring to Each Conversation</w:t>
      </w:r>
    </w:p>
    <w:p>
      <w:pPr>
        <w:spacing w:after="120" w:before="120"/>
      </w:pPr>
      <w:r>
        <w:t xml:space="preserve">You are not ready to meet anyone until you have built your case. Here is what that means in practice:</w:t>
      </w:r>
    </w:p>
    <w:p>
      <w:pPr>
        <w:spacing w:after="120" w:before="120"/>
      </w:pPr>
      <w:r>
        <w:rPr>
          <w:b/>
          <w:bCs/>
        </w:rPr>
        <w:t xml:space="preserve">For the Capital Projects Manager:</w:t>
      </w:r>
      <w:r>
        <w:t xml:space="preserve"/>
      </w:r>
    </w:p>
    <w:p>
      <w:pPr>
        <w:spacing w:after="60" w:before="60"/>
        <w:ind w:left="720"/>
      </w:pPr>
      <w:r>
        <w:t xml:space="preserve">•  </w:t>
      </w:r>
      <w:r>
        <w:t xml:space="preserve">A one-page comparison: project-by-project consulting vs. program-level management. Not a brochure, a diagnostic.</w:t>
      </w:r>
    </w:p>
    <w:p>
      <w:pPr>
        <w:spacing w:after="60" w:before="60"/>
        <w:ind w:left="720"/>
      </w:pPr>
      <w:r>
        <w:t xml:space="preserve">•  </w:t>
      </w:r>
      <w:r>
        <w:t xml:space="preserve">2-3 specific examples of capital programs where you reduced change-order costs or improved schedule adherence</w:t>
      </w:r>
    </w:p>
    <w:p>
      <w:pPr>
        <w:spacing w:after="60" w:before="60"/>
        <w:ind w:left="720"/>
      </w:pPr>
      <w:r>
        <w:t xml:space="preserve">•  </w:t>
      </w:r>
      <w:r>
        <w:t xml:space="preserve">A question, not a pitch: 'What does it cost the county when a capital project slips by three months?'</w:t>
      </w:r>
    </w:p>
    <w:p>
      <w:pPr>
        <w:spacing w:after="120" w:before="120"/>
      </w:pPr>
      <w:r>
        <w:rPr>
          <w:b/>
          <w:bCs/>
        </w:rPr>
        <w:t xml:space="preserve">For the Public Works Director or County Engineer:</w:t>
      </w:r>
      <w:r>
        <w:t xml:space="preserve"/>
      </w:r>
    </w:p>
    <w:p>
      <w:pPr>
        <w:spacing w:after="60" w:before="60"/>
        <w:ind w:left="720"/>
      </w:pPr>
      <w:r>
        <w:t xml:space="preserve">•  </w:t>
      </w:r>
      <w:r>
        <w:t xml:space="preserve">A brief ROI summary showing cost of change orders vs. cost of program management</w:t>
      </w:r>
    </w:p>
    <w:p>
      <w:pPr>
        <w:spacing w:after="60" w:before="60"/>
        <w:ind w:left="720"/>
      </w:pPr>
      <w:r>
        <w:t xml:space="preserve">•  </w:t>
      </w:r>
      <w:r>
        <w:t xml:space="preserve">A proposed next step that is low-risk: a portfolio health assessment on three active projects, a presentation to the capital improvement committee, or a 90-day pilot on a single program</w:t>
      </w:r>
    </w:p>
    <w:p>
      <w:pPr>
        <w:spacing w:after="120" w:before="120"/>
      </w:pPr>
      <w:r>
        <w:rPr>
          <w:b/>
          <w:bCs/>
        </w:rPr>
        <w:t xml:space="preserve">For Finance/Procurement:</w:t>
      </w:r>
      <w:r>
        <w:t xml:space="preserve"/>
      </w:r>
    </w:p>
    <w:p>
      <w:pPr>
        <w:spacing w:after="60" w:before="60"/>
        <w:ind w:left="720"/>
      </w:pPr>
      <w:r>
        <w:t xml:space="preserve">•  </w:t>
      </w:r>
      <w:r>
        <w:t xml:space="preserve">Your pricing model, transparent and specific</w:t>
      </w:r>
    </w:p>
    <w:p>
      <w:pPr>
        <w:spacing w:after="60" w:before="60"/>
        <w:ind w:left="720"/>
      </w:pPr>
      <w:r>
        <w:t xml:space="preserve">•  </w:t>
      </w:r>
      <w:r>
        <w:t xml:space="preserve">How a contract with you would be structured (professional services agreement, task order under existing on-call, etc.)</w:t>
      </w:r>
    </w:p>
    <w:p>
      <w:pPr>
        <w:spacing w:after="60" w:before="60"/>
        <w:ind w:left="720"/>
      </w:pPr>
      <w:r>
        <w:t xml:space="preserve">•  </w:t>
      </w:r>
      <w:r>
        <w:t xml:space="preserve">Whether this scope can fit under an existing contract vehicle or requires a new solicitation</w:t>
      </w:r>
    </w:p>
    <w:tbl>
      <w:tblPr>
        <w:tblW w:type="dxa" w:w="9360"/>
        <w:tblBorders>
          <w:top w:val="single" w:color="2E75B6" w:sz="6"/>
          <w:left w:val="single" w:color="2E75B6" w:sz="18"/>
          <w:bottom w:val="single" w:color="2E75B6" w:sz="6"/>
          <w:right w:val="none" w:color="FFFFFF" w:sz="0"/>
          <w:insideH w:val="single" w:color="auto" w:sz="4"/>
          <w:insideV w:val="single" w:color="auto" w:sz="4"/>
        </w:tblBorders>
      </w:tblPr>
      <w:tblGrid>
        <w:gridCol w:w="100"/>
      </w:tblGrid>
      <w:tr>
        <w:tc>
          <w:tcPr>
            <w:tcW w:type="dxa" w:w="9360"/>
            <w:shd w:fill="D6E4F0" w:val="clear"/>
            <w:tcMar>
              <w:top w:type="dxa" w:w="100"/>
              <w:left w:type="dxa" w:w="160"/>
              <w:bottom w:type="dxa" w:w="100"/>
              <w:right w:type="dxa" w:w="160"/>
            </w:tcMar>
          </w:tcPr>
          <w:p>
            <w:r>
              <w:rPr>
                <w:b/>
                <w:bCs/>
                <w:color w:val="1F4E79"/>
              </w:rPr>
              <w:t xml:space="preserve">The Rule for Every Conversation</w:t>
            </w:r>
          </w:p>
          <w:p>
            <w:r>
              <w:t xml:space="preserve">You are advocating for the problem, not your company. If the county solves the program management gap in a different way, that is a win for the county's taxpayers and infrastructure. Your job is to make the case that the status quo is not working, then demonstrate that your model is the most practical path forward.</w:t>
            </w:r>
          </w:p>
        </w:tc>
      </w:tr>
    </w:tbl>
    <w:p>
      <w:pPr>
        <w:pStyle w:val="Heading1"/>
        <w:shd w:fill="1F4E79" w:val="clear"/>
        <w:spacing w:after="200" w:before="360"/>
      </w:pPr>
      <w:r>
        <w:rPr>
          <w:b/>
          <w:bCs/>
          <w:color w:val="FFFFFF"/>
          <w:sz w:val="28"/>
          <w:szCs w:val="28"/>
        </w:rPr>
        <w:t xml:space="preserve">5.  Your Next Three Actions</w:t>
      </w:r>
    </w:p>
    <w:p>
      <w:pPr>
        <w:spacing w:after="100" w:before="200"/>
        <w:ind w:left="360"/>
      </w:pPr>
      <w:r>
        <w:t xml:space="preserve">1.  </w:t>
      </w:r>
      <w:r>
        <w:rPr>
          <w:b/>
          <w:bCs/>
        </w:rPr>
        <w:t xml:space="preserve">Build your ROI one-pager.</w:t>
      </w:r>
      <w:r>
        <w:t xml:space="preserve"> Pull publicly available data on the county's capital improvement plan. Identify 2-3 recent projects with documented change orders or schedule overruns. Calculate what program-level oversight would have saved. This is the document that moves directors.</w:t>
      </w:r>
    </w:p>
    <w:p>
      <w:pPr>
        <w:spacing w:after="100" w:before="100"/>
        <w:ind w:left="360"/>
      </w:pPr>
      <w:r>
        <w:t xml:space="preserve">2.  </w:t>
      </w:r>
      <w:r>
        <w:rPr>
          <w:b/>
          <w:bCs/>
        </w:rPr>
        <w:t xml:space="preserve">Contact the Capital Projects Manager by email.</w:t>
      </w:r>
      <w:r>
        <w:t xml:space="preserve"> A short, direct email introducing yourself, referencing the capital program coordination challenge in growing counties, and asking for 20 minutes to share what you are seeing with other public works agencies. Do not attach materials in the first email.</w:t>
      </w:r>
    </w:p>
    <w:p>
      <w:pPr>
        <w:spacing w:after="100" w:before="100"/>
        <w:ind w:left="360"/>
      </w:pPr>
      <w:r>
        <w:t xml:space="preserve">3.  </w:t>
      </w:r>
      <w:r>
        <w:rPr>
          <w:b/>
          <w:bCs/>
        </w:rPr>
        <w:t xml:space="preserve">Attend a County Council Public Works Committee meeting as an observer.</w:t>
      </w:r>
      <w:r>
        <w:t xml:space="preserve"> Learn the budget rhythm, which capital projects are generating discussion, and what priorities are live. This context will sharpen every conversation you have afterward. Meetings are public and agendas are posted on the county website.</w:t>
      </w:r>
    </w:p>
    <w:p>
      <w:pPr>
        <w:pBdr>
          <w:top w:val="single" w:color="CCCCCC" w:sz="6"/>
        </w:pBdr>
        <w:spacing w:before="360"/>
      </w:pPr>
    </w:p>
    <w:p>
      <w:pPr>
        <w:spacing w:after="120" w:before="240"/>
        <w:jc w:val="center"/>
      </w:pPr>
      <w:r>
        <w:rPr>
          <w:i/>
          <w:iCs/>
          <w:color w:val="888888"/>
          <w:sz w:val="20"/>
          <w:szCs w:val="20"/>
        </w:rPr>
        <w:t xml:space="preserve">Questions? Contact your advisor to review your materials before any outreach.</w:t>
      </w:r>
    </w:p>
    <w:p>
      <w:pPr>
        <w:jc w:val="center"/>
      </w:pPr>
      <w:r>
        <w:rPr>
          <w:i/>
          <w:iCs/>
          <w:color w:val="888888"/>
          <w:sz w:val="18"/>
          <w:szCs w:val="18"/>
        </w:rPr>
        <w:t xml:space="preserve">This document is a coaching resource. It is not legal, lobbying, or procurement advice.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2026-08-18T20:54:47.315Z</dcterms:created>
  <dcterms:modified xsi:type="dcterms:W3CDTF">2026-08-18T20:54:47.334Z</dcterms:modified>
</cp:coreProperties>
</file>

<file path=docProps/custom.xml><?xml version="1.0" encoding="utf-8"?>
<Properties xmlns="http://schemas.openxmlformats.org/officeDocument/2006/custom-properties" xmlns:vt="http://schemas.openxmlformats.org/officeDocument/2006/docPropsVTypes"/>
</file>